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8A3193" w:rsidRPr="008A3193" w14:paraId="342BF101" w14:textId="77777777" w:rsidTr="001839A6">
        <w:trPr>
          <w:jc w:val="center"/>
        </w:trPr>
        <w:tc>
          <w:tcPr>
            <w:tcW w:w="3684" w:type="dxa"/>
            <w:shd w:val="clear" w:color="auto" w:fill="auto"/>
          </w:tcPr>
          <w:p w14:paraId="47767C96" w14:textId="77777777" w:rsidR="008A3193" w:rsidRDefault="008A3193" w:rsidP="001839A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drawing>
                <wp:inline distT="0" distB="0" distL="0" distR="0" wp14:anchorId="55832731" wp14:editId="23837033">
                  <wp:extent cx="2075291" cy="441204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27965EC2" w14:textId="77777777" w:rsidR="008A3193" w:rsidRPr="00F044CE" w:rsidRDefault="008A3193" w:rsidP="001839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4EBE1144" w14:textId="77777777" w:rsidR="008A3193" w:rsidRPr="00F044CE" w:rsidRDefault="008A3193" w:rsidP="001839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6CA940E8" w14:textId="77777777" w:rsidR="008A3193" w:rsidRPr="00F044CE" w:rsidRDefault="008A3193" w:rsidP="001839A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8A3193" w:rsidRPr="008A3193" w14:paraId="10B6F289" w14:textId="77777777" w:rsidTr="001839A6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14C97C6C" w14:textId="77777777" w:rsidR="008A3193" w:rsidRPr="00F044CE" w:rsidRDefault="008A3193" w:rsidP="001839A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185167A6" w14:textId="75062A12" w:rsidR="00667EC9" w:rsidRDefault="00667EC9">
      <w:pPr>
        <w:rPr>
          <w:lang w:val="uk-UA"/>
        </w:rPr>
      </w:pPr>
    </w:p>
    <w:p w14:paraId="3689E808" w14:textId="77777777" w:rsidR="008A3193" w:rsidRPr="00BD7B88" w:rsidRDefault="008A3193" w:rsidP="008A3193">
      <w:pPr>
        <w:jc w:val="center"/>
        <w:rPr>
          <w:sz w:val="28"/>
          <w:szCs w:val="28"/>
          <w:lang w:val="uk-UA"/>
        </w:rPr>
      </w:pPr>
      <w:r w:rsidRPr="00BD7B88">
        <w:rPr>
          <w:rFonts w:ascii="Arial" w:eastAsia="Arial" w:hAnsi="Arial" w:cs="Arial"/>
          <w:color w:val="auto"/>
          <w:sz w:val="28"/>
          <w:szCs w:val="28"/>
          <w:lang w:val="uk-UA" w:bidi="ar-SA"/>
        </w:rPr>
        <w:t>Інструкції EUCAST щодо того,</w:t>
      </w:r>
      <w:r w:rsidRPr="00BD7B88">
        <w:rPr>
          <w:sz w:val="28"/>
          <w:szCs w:val="28"/>
          <w:lang w:val="uk-UA"/>
        </w:rPr>
        <w:t xml:space="preserve"> </w:t>
      </w:r>
    </w:p>
    <w:p w14:paraId="690737B3" w14:textId="66A4A3A3" w:rsidR="008A3193" w:rsidRPr="00BD7B88" w:rsidRDefault="008A3193" w:rsidP="008A319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  <w:t xml:space="preserve">Коли в таблицях граничних значень немає граничних значень? </w:t>
      </w:r>
    </w:p>
    <w:p w14:paraId="0DF61944" w14:textId="6BAF1699" w:rsidR="008A3193" w:rsidRPr="008A3193" w:rsidRDefault="008A3193" w:rsidP="008A3193">
      <w:pPr>
        <w:jc w:val="center"/>
        <w:rPr>
          <w:rFonts w:ascii="Arial" w:eastAsia="Arial" w:hAnsi="Arial" w:cs="Arial"/>
          <w:b/>
          <w:bCs/>
          <w:color w:val="auto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2024-02-29, </w:t>
      </w:r>
      <w:proofErr w:type="spellStart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цефідерокол</w:t>
      </w:r>
      <w:proofErr w:type="spellEnd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 додано</w:t>
      </w:r>
      <w:r w:rsidRPr="008A3193">
        <w:rPr>
          <w:rFonts w:ascii="Arial" w:eastAsia="Arial" w:hAnsi="Arial" w:cs="Arial"/>
          <w:b/>
          <w:bCs/>
          <w:color w:val="auto"/>
          <w:lang w:val="uk-UA" w:bidi="ar-SA"/>
        </w:rPr>
        <w:t xml:space="preserve"> у вересні 2024 року.</w:t>
      </w:r>
    </w:p>
    <w:p w14:paraId="3702E75D" w14:textId="77777777" w:rsidR="008A3193" w:rsidRPr="008A3193" w:rsidRDefault="008A3193" w:rsidP="008A3193">
      <w:pPr>
        <w:jc w:val="center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7A275A50" w14:textId="77777777" w:rsidR="008A3193" w:rsidRPr="00BD7B88" w:rsidRDefault="008A3193" w:rsidP="008A3193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У таблицях граничних значень є деякі групи видів/видів і антимікробні препарати без числових граничних значень, щоб дозволити інтерпретацію за категоріями Ч, П або С або тире, щоб дозволити повідомляти про «стійкі» без тестування. </w:t>
      </w:r>
    </w:p>
    <w:p w14:paraId="449ABAD4" w14:textId="77777777" w:rsidR="008A3193" w:rsidRPr="00BD7B88" w:rsidRDefault="008A3193" w:rsidP="008A3193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Найбільш імовірна послідовність подій у лабораторії така (див. також блок-схему): </w:t>
      </w:r>
    </w:p>
    <w:p w14:paraId="773DC365" w14:textId="77777777" w:rsidR="008A3193" w:rsidRPr="00BD7B88" w:rsidRDefault="008A3193" w:rsidP="008A3193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38FFE7A" w14:textId="5A3E4336" w:rsidR="008A3193" w:rsidRPr="00BD7B88" w:rsidRDefault="008A3193" w:rsidP="008A3193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1. Мікроорганізм знайдено в клінічному зразку та ідентифіковано на видовому рівні. Рішення щодо клінічної значущості приймається на основі патогенності виду, місця виділення, його відносної чисельності, а також того, чи це відбулося в одному чи кількох зразках. Не всі культивовані мікроорганізми актуальні. Спокусливо думати, що вид, який лише нещодавно вдалося ідентифікувати, є важливим або актуальним. Це може бути не так, і в змішаних культурах значення завжди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повинно бути під питанням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. </w:t>
      </w:r>
    </w:p>
    <w:p w14:paraId="020E128B" w14:textId="0A8430AB" w:rsidR="008A3193" w:rsidRPr="00BD7B88" w:rsidRDefault="008A3193" w:rsidP="008A3193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2. Після встановлення клінічної значущості та прийняття рішення про проведення тесту на антимікробну чутливість (AST) звіряються з таблицею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граничних 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EUCAST для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встановлення 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відповідних агентів та умов тестування. </w:t>
      </w:r>
    </w:p>
    <w:p w14:paraId="5EBD6F42" w14:textId="35660F4B" w:rsidR="008A3193" w:rsidRPr="00BD7B88" w:rsidRDefault="008A3193" w:rsidP="008A3193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3. Якщо вказівки (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граничні значення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у вигляді числових значень або тире) відсутні, рішення про те, які агенти досліджувати та який метод і середовище використовувати, ґрунтується на виді, характеристиках росту та перегляді літератури. </w:t>
      </w:r>
    </w:p>
    <w:p w14:paraId="652B458E" w14:textId="495F6E6C" w:rsidR="008A3193" w:rsidRPr="00BD7B88" w:rsidRDefault="008A3193" w:rsidP="008A3193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4. Якщо можливо, зверніться до веб-сайту розповсюдження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MIК 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EUCAST MIC, щоб визначити розподіл дикого типу та ECOFF або TECOFF виду та з’ясувати, чи існують фенотипові механізми набутої резистентності (див. додаток). </w:t>
      </w:r>
    </w:p>
    <w:p w14:paraId="679D5FDD" w14:textId="12A504FF" w:rsidR="008A3193" w:rsidRPr="00BD7B88" w:rsidRDefault="008A3193" w:rsidP="00870CB1">
      <w:pPr>
        <w:ind w:left="993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Якщо це не дикий тип, додайте коментар до звіту, щоб перешкодити терапії. </w:t>
      </w:r>
    </w:p>
    <w:p w14:paraId="3DC20D30" w14:textId="5E169EAE" w:rsidR="008A3193" w:rsidRPr="00BD7B88" w:rsidRDefault="008A3193" w:rsidP="00870CB1">
      <w:pPr>
        <w:ind w:left="993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Якщо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це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дикий тип, не відразу вважайте ізолят чутливим до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препарату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, натомість дотримуйтеся наведених нижче вказівок.</w:t>
      </w:r>
    </w:p>
    <w:p w14:paraId="16C03FE5" w14:textId="77777777" w:rsidR="008A3193" w:rsidRPr="00BD7B88" w:rsidRDefault="008A3193" w:rsidP="00870CB1">
      <w:pPr>
        <w:ind w:left="993" w:hanging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Якщо неможливо визначити, чи належить ізолят до дикого типу, дотримуйтеся наведених нижче вказівок. </w:t>
      </w:r>
    </w:p>
    <w:p w14:paraId="455259BF" w14:textId="77777777" w:rsidR="008A3193" w:rsidRPr="00BD7B88" w:rsidRDefault="008A3193" w:rsidP="008A3193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0C440E4" w14:textId="75F6D29F" w:rsidR="008A3193" w:rsidRPr="00BD7B88" w:rsidRDefault="008A3193" w:rsidP="008A3193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Якщо в таблиці немає числових </w:t>
      </w:r>
      <w:r w:rsidR="00870CB1"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граничних значень</w:t>
      </w: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: </w:t>
      </w:r>
    </w:p>
    <w:p w14:paraId="71C1ECF5" w14:textId="77777777" w:rsidR="008A3193" w:rsidRPr="00BD7B88" w:rsidRDefault="008A3193" w:rsidP="008A3193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Замість числових значень є «тире»: мікроб може бути визнаний стійким без подальшого тестування. </w:t>
      </w:r>
    </w:p>
    <w:p w14:paraId="6ED4FE1A" w14:textId="337C2C74" w:rsidR="008A3193" w:rsidRPr="00BD7B88" w:rsidRDefault="008A3193" w:rsidP="008A3193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• Замість числових значень є «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НД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»: використовуйте цей інструкційний документ для подальшої оцінки ситуації. </w:t>
      </w:r>
    </w:p>
    <w:p w14:paraId="34EF2055" w14:textId="77777777" w:rsidR="008A3193" w:rsidRPr="00BD7B88" w:rsidRDefault="008A3193" w:rsidP="008A3193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37941F7C" w14:textId="77777777" w:rsidR="008A3193" w:rsidRPr="00BD7B88" w:rsidRDefault="008A3193" w:rsidP="008A3193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Якщо </w:t>
      </w:r>
      <w:proofErr w:type="spellStart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агента</w:t>
      </w:r>
      <w:proofErr w:type="spellEnd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 немає в таблиці: </w:t>
      </w:r>
    </w:p>
    <w:p w14:paraId="0888DBCB" w14:textId="0D97D167" w:rsidR="008A3193" w:rsidRPr="00BD7B88" w:rsidRDefault="008A3193" w:rsidP="008A3193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</w:t>
      </w:r>
      <w:r w:rsidR="00870CB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Граничні значення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для нових агентів буде встановлено, коли агенти проходитимуть заявку на схвалення маркетингу до EMA, і вони будуть звільнені, якщо агенту буде надано схвалення. Якщо ви сумніваєтеся, зверніться до EUCAST, щоб отримати пораду щодо нових агентів.</w:t>
      </w:r>
    </w:p>
    <w:p w14:paraId="497663DD" w14:textId="79198447" w:rsidR="00870CB1" w:rsidRPr="00BD7B88" w:rsidRDefault="00870CB1" w:rsidP="00870CB1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Граничні значення для деяких старих препаратів можуть бути визначені, коли буде встановлено переконливу потребу (як це було у випадку, коли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колістин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нітроксолін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і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темоцилін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отримали граничні значення). Інші старіші препарати, замінені більш сучасними агентами з очевидними перевагами (покращена активність, покращена фармакокінетика або знижена токсичність), можуть ніколи більше не мати граничних значення. Ймовірно, це стосується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аміноглікозиду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канаміцину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хінолону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спарфлоксацину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макроліду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джозаміцину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та кількох цефалоспоринів.</w:t>
      </w:r>
    </w:p>
    <w:p w14:paraId="62F49539" w14:textId="77777777" w:rsidR="00870CB1" w:rsidRPr="00BD7B88" w:rsidRDefault="00870CB1" w:rsidP="00870CB1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DE1F7E4" w14:textId="2380519E" w:rsidR="00870CB1" w:rsidRPr="00BD7B88" w:rsidRDefault="00870CB1" w:rsidP="00870CB1">
      <w:pPr>
        <w:ind w:left="426" w:hanging="426"/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Якщо виду немає в таблиці: </w:t>
      </w:r>
    </w:p>
    <w:p w14:paraId="48D25235" w14:textId="4B085DF9" w:rsidR="00870CB1" w:rsidRPr="00BD7B88" w:rsidRDefault="00870CB1" w:rsidP="00870CB1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• Граничні значення для рідкісних видів/видових груп відсутні, і вони можуть ніколи не бути визначені. Це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залежатиме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від розуміння клінічної потреби та від частоти ідентифікації та значущості в клінічних зразках. </w:t>
      </w:r>
    </w:p>
    <w:p w14:paraId="1B09FDA4" w14:textId="77777777" w:rsidR="00870CB1" w:rsidRPr="00BD7B88" w:rsidRDefault="00870CB1" w:rsidP="00870CB1">
      <w:pPr>
        <w:ind w:left="426" w:hanging="142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7A88EF3" w14:textId="4991531C" w:rsidR="00870CB1" w:rsidRDefault="00870CB1" w:rsidP="00870C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Література.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Література допоможе визначити (а) де вид може мати клінічне значення і (б) які протимікробні препарати включити в тестування і для яких можна очікувати успішного результату, і (в) характеристики росту.</w:t>
      </w:r>
    </w:p>
    <w:p w14:paraId="672E4883" w14:textId="75A0C6A4" w:rsidR="00BD7B88" w:rsidRDefault="00BD7B88" w:rsidP="00870C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33F187DA" w14:textId="77777777" w:rsidR="00BD7B88" w:rsidRPr="00BD7B88" w:rsidRDefault="00BD7B88" w:rsidP="00870C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BD7B88" w:rsidRPr="008A3193" w14:paraId="10CFC8CB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1F8BF698" w14:textId="77777777" w:rsidR="00BD7B88" w:rsidRDefault="00BD7B88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45844FE0" wp14:editId="7FF91A04">
                  <wp:extent cx="2075291" cy="44120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577FF6E4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632F6237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2BD7CC92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BD7B88" w:rsidRPr="008A3193" w14:paraId="35D19D17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0E56DFBA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0495261F" w14:textId="77777777" w:rsidR="00870CB1" w:rsidRPr="00870CB1" w:rsidRDefault="00870CB1" w:rsidP="00870CB1">
      <w:pPr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2880D5FF" w14:textId="6AEA1F76" w:rsidR="00870CB1" w:rsidRPr="00BD7B88" w:rsidRDefault="00870CB1" w:rsidP="00870C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MIC є основою для будь-якої оцінки.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За відсутності граничних значень оцінку можна зробити лише тоді, коли можна отримати точне та відтворюване значення МІК. Визначте MIК за допомогою еталонних методів або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валідованих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сурогатних методів.</w:t>
      </w:r>
    </w:p>
    <w:p w14:paraId="11937F24" w14:textId="77777777" w:rsidR="00870CB1" w:rsidRPr="00BD7B88" w:rsidRDefault="00870CB1" w:rsidP="00870CB1">
      <w:pPr>
        <w:ind w:left="426" w:hanging="426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5493471" w14:textId="50634CFB" w:rsidR="00870CB1" w:rsidRPr="00BD7B88" w:rsidRDefault="00870CB1" w:rsidP="00870CB1">
      <w:pPr>
        <w:pStyle w:val="a3"/>
        <w:numPr>
          <w:ilvl w:val="0"/>
          <w:numId w:val="1"/>
        </w:num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Мікророзведення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у бульйоні є еталонним методом для аеробних бактерій із використанням бульйону MH або MH-F залежно від виду.</w:t>
      </w:r>
    </w:p>
    <w:p w14:paraId="3F7FEDA3" w14:textId="2D533198" w:rsidR="00870CB1" w:rsidRPr="00BD7B88" w:rsidRDefault="00870CB1" w:rsidP="00870CB1">
      <w:pPr>
        <w:pStyle w:val="a3"/>
        <w:numPr>
          <w:ilvl w:val="0"/>
          <w:numId w:val="1"/>
        </w:num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Розведення в агарі є еталонним методом для анаеробних бактерій із використанням середовища FAA-HB.</w:t>
      </w:r>
    </w:p>
    <w:p w14:paraId="205A0D17" w14:textId="66D4A64C" w:rsidR="00870CB1" w:rsidRPr="00BD7B88" w:rsidRDefault="00870CB1" w:rsidP="00870CB1">
      <w:pPr>
        <w:pStyle w:val="a3"/>
        <w:numPr>
          <w:ilvl w:val="0"/>
          <w:numId w:val="1"/>
        </w:num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Градієнтні тести використовуються відповідно до рекомендацій виробника. На тест можна покладатися лише тоді, коли він підтверджений для виду та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агента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, виробником або користувачем, і з одночасним контролем якості. Градієнтний тест, розроблений і підтверджений для одного виду, не може автоматично застосовуватись для інших видів.</w:t>
      </w:r>
    </w:p>
    <w:p w14:paraId="6A626839" w14:textId="0734A8C3" w:rsidR="00870CB1" w:rsidRPr="00BD7B88" w:rsidRDefault="00870CB1" w:rsidP="00870CB1">
      <w:pPr>
        <w:pStyle w:val="a3"/>
        <w:numPr>
          <w:ilvl w:val="0"/>
          <w:numId w:val="1"/>
        </w:num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Диско дифузійний метод не може бути використаний, оскільки значення зони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інгібування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буде залежати від попередньо визначеної кореляції між зоною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інгібування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та значеннями MI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</w:t>
      </w:r>
    </w:p>
    <w:p w14:paraId="0A3AFFA2" w14:textId="77777777" w:rsidR="00464C01" w:rsidRPr="00BD7B88" w:rsidRDefault="00464C01" w:rsidP="00464C01">
      <w:pPr>
        <w:pStyle w:val="a3"/>
        <w:ind w:left="100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C45377C" w14:textId="3D2121B5" w:rsidR="00870CB1" w:rsidRPr="00BD7B88" w:rsidRDefault="00870CB1" w:rsidP="00464C0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Утримуйтеся від категор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изації у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звіт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ах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(особливо «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Ч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» і «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П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»), якщо немає конкретних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граничних 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. Натомість звітування має бути у формі вказівок, як показано нижче. Числові значення в таблицях передбачають несприятливий результат і базуються на консервативній оцінці існуючих граничних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для видів, перелічених у звичайній таблиці граничних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найбільш поширених розподілах МІК для них та їх зв’язку з клінічними граничними значеннями та пороговими значеннями ФК/ФД опубліковані в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обґрунтувальних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документах для різних протимікробних засобів.</w:t>
      </w:r>
    </w:p>
    <w:p w14:paraId="3B16EBBB" w14:textId="77777777" w:rsidR="00464C01" w:rsidRPr="00BD7B88" w:rsidRDefault="00464C01" w:rsidP="00464C0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66E75A6" w14:textId="3F3E8D78" w:rsidR="00870CB1" w:rsidRPr="00BD7B88" w:rsidRDefault="00870CB1" w:rsidP="00464C0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Повідомлення про </w:t>
      </w:r>
      <w:r w:rsidR="00464C01"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чутливість</w:t>
      </w: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, коли немає </w:t>
      </w:r>
      <w:r w:rsidR="00464C01"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граничних 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</w:t>
      </w:r>
    </w:p>
    <w:p w14:paraId="30B6E2A8" w14:textId="72CAC7C3" w:rsidR="00870CB1" w:rsidRPr="00BD7B88" w:rsidRDefault="00870CB1" w:rsidP="00464C0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Загалом уникайте категори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зації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(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Ч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П 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та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С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)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у результатах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коли немає </w:t>
      </w:r>
      <w:r w:rsidR="00464C0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граничних значень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 Використовуйте альтернативні стратегії звітності залежно від результатів тестування та аналізу. Нижче наведено можливі альтернативні результати ваших зусиль і запропоновані коментарі для використання у звітах:</w:t>
      </w:r>
    </w:p>
    <w:p w14:paraId="685E7A99" w14:textId="0B923C0B" w:rsidR="00464C01" w:rsidRPr="00BD7B88" w:rsidRDefault="00464C01" w:rsidP="00464C0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90D5901" w14:textId="101C82B0" w:rsidR="00464C01" w:rsidRPr="00BD7B88" w:rsidRDefault="00464C01" w:rsidP="00464C01">
      <w:pPr>
        <w:pStyle w:val="a3"/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Неможливо визначити МІК: </w:t>
      </w:r>
    </w:p>
    <w:p w14:paraId="4F7ED137" w14:textId="7AC63153" w:rsidR="00464C01" w:rsidRPr="00BD7B88" w:rsidRDefault="00464C01" w:rsidP="00464C01">
      <w:pPr>
        <w:pStyle w:val="a3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Додати коментар до звіту «Не вдалося визначити МІК і визначити чутливість мікроорганізму неможливо».</w:t>
      </w:r>
    </w:p>
    <w:p w14:paraId="205F2B26" w14:textId="77777777" w:rsidR="00464C01" w:rsidRPr="00BD7B88" w:rsidRDefault="00464C01" w:rsidP="00464C01">
      <w:pPr>
        <w:pStyle w:val="a3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F2D0BCA" w14:textId="77777777" w:rsidR="00464C01" w:rsidRPr="00BD7B88" w:rsidRDefault="00464C01" w:rsidP="00464C01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2. MIC можна визначити:</w:t>
      </w:r>
    </w:p>
    <w:p w14:paraId="0E2A11F0" w14:textId="3860D7DF" w:rsidR="00464C01" w:rsidRPr="00BD7B88" w:rsidRDefault="00464C01" w:rsidP="00464C01">
      <w:pPr>
        <w:ind w:left="709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a. </w:t>
      </w: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Аналіз дає підстави відмовитися від використання </w:t>
      </w:r>
      <w:proofErr w:type="spellStart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агента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 Додайте такий коментар (у очевидних випадках розгляньте повідомлення «С»): «Офіційна класифікація чутливості організму неможлива. MIК пропонує не використовувати засіб для терапії». Якщо необхідно, додається значення MI</w:t>
      </w:r>
      <w:r w:rsidR="00617E1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</w:t>
      </w:r>
    </w:p>
    <w:p w14:paraId="04161A29" w14:textId="3B0F54FE" w:rsidR="00464C01" w:rsidRPr="00BD7B88" w:rsidRDefault="00464C01" w:rsidP="00464C01">
      <w:pPr>
        <w:ind w:left="709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b. </w:t>
      </w: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Аналіз пропонує обережно заохочувати використання </w:t>
      </w:r>
      <w:proofErr w:type="spellStart"/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агента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 Додайте такий коментар до звіту: «Офіційна класифікація чутливості організму неможлива. Обережне тлумачення припускає, що препарат можна розглядати як терапію». Якщо необхідно, додається значення MI</w:t>
      </w:r>
      <w:r w:rsidR="00617E11"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.</w:t>
      </w:r>
    </w:p>
    <w:p w14:paraId="563C61AC" w14:textId="657BF5AC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5F8CC0CB" w14:textId="35CD0882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15CC3820" w14:textId="5691CF62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32CDBF70" w14:textId="1A36078D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25CC7A3A" w14:textId="3079B9EB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48DE44B6" w14:textId="11FED9E1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78F94575" w14:textId="0DEA869A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793A8767" w14:textId="556962DE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4702C094" w14:textId="4FA2D71D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35235C36" w14:textId="2A0003EF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5DA3BE84" w14:textId="77777777" w:rsidR="00BD7B88" w:rsidRDefault="00BD7B88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03C2139B" w14:textId="4776C69F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32AEAD23" w14:textId="7234D65A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70103533" w14:textId="38D5E522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BD7B88" w:rsidRPr="008A3193" w14:paraId="423DE255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49E544B1" w14:textId="77777777" w:rsidR="00BD7B88" w:rsidRDefault="00BD7B88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1216C14F" wp14:editId="0E02B198">
                  <wp:extent cx="2075291" cy="44120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7B8914E3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54F33975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11F0140D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BD7B88" w:rsidRPr="008A3193" w14:paraId="0E84A767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5B20A5C7" w14:textId="77777777" w:rsidR="00BD7B88" w:rsidRPr="00F044CE" w:rsidRDefault="00BD7B88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00C409B8" w14:textId="7BB58C71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7ED9B885" w14:textId="0188BA3C" w:rsidR="00617E11" w:rsidRDefault="00617E11" w:rsidP="00464C01">
      <w:pPr>
        <w:ind w:left="709"/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12F9F88C" w14:textId="4F64140C" w:rsidR="00617E11" w:rsidRPr="00BD7B88" w:rsidRDefault="00617E11" w:rsidP="00617E11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  <w:r w:rsidRPr="00BD7B88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Таблиця 1. Протимікробні препарати, що стосуються лікування аеробних бактерій, із вказівками для бактерій, у яких відсутні граничні значення в стандартних таблицях граничних значень EUCAST.</w:t>
      </w:r>
    </w:p>
    <w:p w14:paraId="4D61FEE1" w14:textId="77777777" w:rsidR="00617E11" w:rsidRPr="00BD7B88" w:rsidRDefault="00617E11" w:rsidP="00617E11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</w:p>
    <w:p w14:paraId="3F609323" w14:textId="2E2C9AAF" w:rsidR="00617E11" w:rsidRDefault="00617E11" w:rsidP="00617E11">
      <w:pPr>
        <w:jc w:val="both"/>
        <w:rPr>
          <w:rFonts w:ascii="Arial" w:eastAsia="Arial" w:hAnsi="Arial" w:cs="Arial"/>
          <w:color w:val="auto"/>
          <w:lang w:val="uk-UA" w:bidi="ar-SA"/>
        </w:rPr>
      </w:pPr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Визначте МІК і порівняйте з числовими значеннями, щоб оцінити мікробіологічну активність </w:t>
      </w:r>
      <w:proofErr w:type="spellStart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агента</w:t>
      </w:r>
      <w:proofErr w:type="spellEnd"/>
      <w:r w:rsidRPr="00BD7B88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проти виду. Слід уникати клінічного застосування засобів, для яких значення МІК є вищими, ніж вказані нижче, тоді як препарати, для яких МІК є однаковими або нижчими, можна розглядати для терапії. Уникайте звітності про ізоляти Ч, П або С – натомість додайте коментар, щоб перешкодити або розглянути терапію. Запропоновані значення базуються на (i) компромісі між поточними граничними значеннями чутливості EUCAST (Ч або П) для видів, які вже є в таблицях, (ii) розподілом мікроорганізмів дикого типу, якщо вони доступні, та (iii) пороговими значеннями ФК/ФД</w:t>
      </w:r>
      <w:r w:rsidRPr="00617E11">
        <w:rPr>
          <w:rFonts w:ascii="Arial" w:eastAsia="Arial" w:hAnsi="Arial" w:cs="Arial"/>
          <w:color w:val="auto"/>
          <w:lang w:val="uk-UA" w:bidi="ar-SA"/>
        </w:rPr>
        <w:t>.</w:t>
      </w:r>
    </w:p>
    <w:p w14:paraId="00370651" w14:textId="59FA03A0" w:rsidR="00617E11" w:rsidRDefault="00617E11" w:rsidP="00617E11">
      <w:pPr>
        <w:jc w:val="both"/>
        <w:rPr>
          <w:rFonts w:ascii="Arial" w:eastAsia="Arial" w:hAnsi="Arial" w:cs="Arial"/>
          <w:color w:val="auto"/>
          <w:lang w:val="uk-UA" w:bidi="ar-S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387"/>
        <w:gridCol w:w="1406"/>
        <w:gridCol w:w="1534"/>
        <w:gridCol w:w="4591"/>
      </w:tblGrid>
      <w:tr w:rsidR="00617E11" w:rsidRPr="00B840B1" w14:paraId="46DE14D4" w14:textId="77777777" w:rsidTr="00B840B1">
        <w:tc>
          <w:tcPr>
            <w:tcW w:w="2387" w:type="dxa"/>
          </w:tcPr>
          <w:p w14:paraId="4F0F5F79" w14:textId="77777777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  <w:tc>
          <w:tcPr>
            <w:tcW w:w="2940" w:type="dxa"/>
            <w:gridSpan w:val="2"/>
          </w:tcPr>
          <w:p w14:paraId="5E80EBA6" w14:textId="4433ECF5" w:rsidR="00617E11" w:rsidRPr="00B840B1" w:rsidRDefault="00617E11" w:rsidP="00617E1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Значення МІК, вище яких терапія препаратом не рекомендується</w:t>
            </w:r>
          </w:p>
        </w:tc>
        <w:tc>
          <w:tcPr>
            <w:tcW w:w="4591" w:type="dxa"/>
          </w:tcPr>
          <w:p w14:paraId="12DD1793" w14:textId="77777777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</w:tr>
      <w:tr w:rsidR="00617E11" w:rsidRPr="00B840B1" w14:paraId="1B5DC99E" w14:textId="77777777" w:rsidTr="00B840B1">
        <w:tc>
          <w:tcPr>
            <w:tcW w:w="2387" w:type="dxa"/>
          </w:tcPr>
          <w:p w14:paraId="50D1EC38" w14:textId="3946E870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Засоби та примітки для аеробних бактерій</w:t>
            </w:r>
          </w:p>
        </w:tc>
        <w:tc>
          <w:tcPr>
            <w:tcW w:w="1406" w:type="dxa"/>
          </w:tcPr>
          <w:p w14:paraId="20600D11" w14:textId="542F8713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Грам позитивні організми</w:t>
            </w:r>
          </w:p>
        </w:tc>
        <w:tc>
          <w:tcPr>
            <w:tcW w:w="1534" w:type="dxa"/>
          </w:tcPr>
          <w:p w14:paraId="1FE20E29" w14:textId="0CE6488D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Грам негативні організми</w:t>
            </w:r>
          </w:p>
        </w:tc>
        <w:tc>
          <w:tcPr>
            <w:tcW w:w="4591" w:type="dxa"/>
          </w:tcPr>
          <w:p w14:paraId="3E45EB39" w14:textId="451299D9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Примітки</w:t>
            </w:r>
          </w:p>
        </w:tc>
      </w:tr>
      <w:tr w:rsidR="00617E11" w:rsidRPr="00B840B1" w14:paraId="48D4CCD1" w14:textId="77777777" w:rsidTr="00B840B1">
        <w:tc>
          <w:tcPr>
            <w:tcW w:w="2387" w:type="dxa"/>
          </w:tcPr>
          <w:p w14:paraId="780C790D" w14:textId="48F2A915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Бензилпеніцилін</w:t>
            </w:r>
            <w:proofErr w:type="spellEnd"/>
          </w:p>
        </w:tc>
        <w:tc>
          <w:tcPr>
            <w:tcW w:w="1406" w:type="dxa"/>
          </w:tcPr>
          <w:p w14:paraId="118CF2F1" w14:textId="2FB4FFAD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0.25</w:t>
            </w:r>
          </w:p>
        </w:tc>
        <w:tc>
          <w:tcPr>
            <w:tcW w:w="1534" w:type="dxa"/>
          </w:tcPr>
          <w:p w14:paraId="6750CDE8" w14:textId="46A87DDC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4591" w:type="dxa"/>
          </w:tcPr>
          <w:p w14:paraId="21F82CA0" w14:textId="1E9DA6ED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Якщо виявлено бета-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лактамазу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повідомте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про стійкість без подальшого тестування</w:t>
            </w:r>
          </w:p>
        </w:tc>
      </w:tr>
      <w:tr w:rsidR="00617E11" w:rsidRPr="00B840B1" w14:paraId="4334E6AD" w14:textId="77777777" w:rsidTr="00B840B1">
        <w:tc>
          <w:tcPr>
            <w:tcW w:w="2387" w:type="dxa"/>
          </w:tcPr>
          <w:p w14:paraId="26C24DD6" w14:textId="1C652F61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Ампіцилін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Амоксицилін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Ампіцилін-сульбактам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Амоксицилін-клавуланова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к-та (тільки в/в)</w:t>
            </w:r>
          </w:p>
        </w:tc>
        <w:tc>
          <w:tcPr>
            <w:tcW w:w="1406" w:type="dxa"/>
          </w:tcPr>
          <w:p w14:paraId="0730D167" w14:textId="7B250A45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76DE1AE8" w14:textId="5707EF01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8</w:t>
            </w:r>
          </w:p>
        </w:tc>
        <w:tc>
          <w:tcPr>
            <w:tcW w:w="4591" w:type="dxa"/>
          </w:tcPr>
          <w:p w14:paraId="41BB22DA" w14:textId="09324EC1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Граничне значення 8 мг/л стосується внутрішньовенного введення високих доз. Якщо виявлено бета-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лактамазу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, значення дійсне лише для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амоксицилін-клавуланової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кислоти та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ампіциліну-сульбактаму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.</w:t>
            </w:r>
          </w:p>
        </w:tc>
      </w:tr>
      <w:tr w:rsidR="00617E11" w:rsidRPr="00B840B1" w14:paraId="22F5B4CC" w14:textId="77777777" w:rsidTr="00B840B1">
        <w:tc>
          <w:tcPr>
            <w:tcW w:w="2387" w:type="dxa"/>
          </w:tcPr>
          <w:p w14:paraId="5F8260C0" w14:textId="0DC3CADE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Піперацилін-тазобактам</w:t>
            </w:r>
            <w:proofErr w:type="spellEnd"/>
          </w:p>
        </w:tc>
        <w:tc>
          <w:tcPr>
            <w:tcW w:w="1406" w:type="dxa"/>
          </w:tcPr>
          <w:p w14:paraId="27C680CA" w14:textId="2B4A6D88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</w:p>
        </w:tc>
        <w:tc>
          <w:tcPr>
            <w:tcW w:w="1534" w:type="dxa"/>
          </w:tcPr>
          <w:p w14:paraId="05479376" w14:textId="6158CDCD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8</w:t>
            </w:r>
          </w:p>
        </w:tc>
        <w:tc>
          <w:tcPr>
            <w:tcW w:w="4591" w:type="dxa"/>
          </w:tcPr>
          <w:p w14:paraId="25F0D3AF" w14:textId="6B04A764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Видоспецифічні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граничні значення для грампозитивних мікроорганізмів становлять 0,25–1 мг/л, а для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грамнегативних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організмів — 8–16 мг/л.</w:t>
            </w:r>
          </w:p>
        </w:tc>
      </w:tr>
      <w:tr w:rsidR="00617E11" w:rsidRPr="00B840B1" w14:paraId="17D5C728" w14:textId="77777777" w:rsidTr="00B840B1">
        <w:tc>
          <w:tcPr>
            <w:tcW w:w="2387" w:type="dxa"/>
          </w:tcPr>
          <w:p w14:paraId="4725AFE1" w14:textId="02FABFBE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Цефотаксим</w:t>
            </w:r>
            <w:proofErr w:type="spellEnd"/>
          </w:p>
        </w:tc>
        <w:tc>
          <w:tcPr>
            <w:tcW w:w="1406" w:type="dxa"/>
          </w:tcPr>
          <w:p w14:paraId="0BD9264E" w14:textId="3219D085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249F3077" w14:textId="2684BCD9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4591" w:type="dxa"/>
          </w:tcPr>
          <w:p w14:paraId="0A130C91" w14:textId="21785A55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Цефотаксим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і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цефтріаксон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– стійкість до будь-якого з них виключає використання обох.</w:t>
            </w:r>
          </w:p>
        </w:tc>
      </w:tr>
      <w:tr w:rsidR="00617E11" w:rsidRPr="00B840B1" w14:paraId="5A8AB4BE" w14:textId="77777777" w:rsidTr="00B840B1">
        <w:tc>
          <w:tcPr>
            <w:tcW w:w="2387" w:type="dxa"/>
          </w:tcPr>
          <w:p w14:paraId="7F461102" w14:textId="5D8D1F4D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Цефтриаксон</w:t>
            </w:r>
            <w:proofErr w:type="spellEnd"/>
          </w:p>
        </w:tc>
        <w:tc>
          <w:tcPr>
            <w:tcW w:w="1406" w:type="dxa"/>
          </w:tcPr>
          <w:p w14:paraId="3E0784DE" w14:textId="588EAC4B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41811E54" w14:textId="6C316D1A" w:rsidR="00617E11" w:rsidRPr="00B840B1" w:rsidRDefault="00617E11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4591" w:type="dxa"/>
          </w:tcPr>
          <w:p w14:paraId="117542A7" w14:textId="4364FE98" w:rsidR="00617E11" w:rsidRPr="00B840B1" w:rsidRDefault="00617E11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Цефотаксим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і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цефтріаксон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– стійкість до будь-якого з них виключає використання обох.</w:t>
            </w:r>
          </w:p>
        </w:tc>
      </w:tr>
      <w:tr w:rsidR="00617E11" w:rsidRPr="00B840B1" w14:paraId="2567FE83" w14:textId="77777777" w:rsidTr="00B840B1">
        <w:tc>
          <w:tcPr>
            <w:tcW w:w="2387" w:type="dxa"/>
          </w:tcPr>
          <w:p w14:paraId="1644C015" w14:textId="3B959C62" w:rsidR="00617E11" w:rsidRPr="00B840B1" w:rsidRDefault="00617E1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Цефтазидим</w:t>
            </w:r>
            <w:proofErr w:type="spellEnd"/>
          </w:p>
        </w:tc>
        <w:tc>
          <w:tcPr>
            <w:tcW w:w="1406" w:type="dxa"/>
          </w:tcPr>
          <w:p w14:paraId="66899E0C" w14:textId="759D2434" w:rsidR="00617E11" w:rsidRPr="00B840B1" w:rsidRDefault="00617E1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-</w:t>
            </w:r>
          </w:p>
        </w:tc>
        <w:tc>
          <w:tcPr>
            <w:tcW w:w="1534" w:type="dxa"/>
          </w:tcPr>
          <w:p w14:paraId="488129F2" w14:textId="2882DF78" w:rsidR="00617E11" w:rsidRPr="00B840B1" w:rsidRDefault="00617E1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4</w:t>
            </w:r>
          </w:p>
        </w:tc>
        <w:tc>
          <w:tcPr>
            <w:tcW w:w="4591" w:type="dxa"/>
          </w:tcPr>
          <w:p w14:paraId="1E32FEDC" w14:textId="7265FDC5" w:rsidR="00617E11" w:rsidRPr="00B840B1" w:rsidRDefault="00617E1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Це є С-граничне значення для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Enterobacterales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.</w:t>
            </w:r>
          </w:p>
        </w:tc>
      </w:tr>
      <w:tr w:rsidR="00617E11" w:rsidRPr="00B840B1" w14:paraId="641F69D7" w14:textId="77777777" w:rsidTr="00B840B1">
        <w:tc>
          <w:tcPr>
            <w:tcW w:w="2387" w:type="dxa"/>
          </w:tcPr>
          <w:p w14:paraId="0F6D7FF7" w14:textId="028AEDA2" w:rsidR="00617E11" w:rsidRPr="00B840B1" w:rsidRDefault="00EA58B2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Цефідерокол</w:t>
            </w:r>
            <w:proofErr w:type="spellEnd"/>
          </w:p>
        </w:tc>
        <w:tc>
          <w:tcPr>
            <w:tcW w:w="1406" w:type="dxa"/>
          </w:tcPr>
          <w:p w14:paraId="76D2CF90" w14:textId="26CB0B16" w:rsidR="00617E11" w:rsidRPr="00B840B1" w:rsidRDefault="00EA58B2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-</w:t>
            </w:r>
          </w:p>
        </w:tc>
        <w:tc>
          <w:tcPr>
            <w:tcW w:w="1534" w:type="dxa"/>
          </w:tcPr>
          <w:p w14:paraId="1071C74B" w14:textId="56751D6A" w:rsidR="00617E11" w:rsidRPr="00B840B1" w:rsidRDefault="00EA58B2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4591" w:type="dxa"/>
          </w:tcPr>
          <w:p w14:paraId="77F74503" w14:textId="5BF8368C" w:rsidR="00617E11" w:rsidRPr="00B840B1" w:rsidRDefault="00EA58B2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Це є С-граничне значення для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Pseudomonas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та інших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неферментуючих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бактерій</w:t>
            </w:r>
          </w:p>
        </w:tc>
      </w:tr>
      <w:tr w:rsidR="00617E11" w:rsidRPr="00B840B1" w14:paraId="42F5E2F0" w14:textId="77777777" w:rsidTr="00B840B1">
        <w:tc>
          <w:tcPr>
            <w:tcW w:w="2387" w:type="dxa"/>
          </w:tcPr>
          <w:p w14:paraId="0763033B" w14:textId="1054E58E" w:rsidR="00617E11" w:rsidRPr="00B840B1" w:rsidRDefault="00EA58B2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Іміпенем</w:t>
            </w:r>
            <w:proofErr w:type="spellEnd"/>
          </w:p>
        </w:tc>
        <w:tc>
          <w:tcPr>
            <w:tcW w:w="1406" w:type="dxa"/>
          </w:tcPr>
          <w:p w14:paraId="7C7FAFEB" w14:textId="23F739B3" w:rsidR="00617E11" w:rsidRPr="00B840B1" w:rsidRDefault="00EA58B2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1534" w:type="dxa"/>
          </w:tcPr>
          <w:p w14:paraId="498CC122" w14:textId="5E6D5BF2" w:rsidR="00617E11" w:rsidRPr="00B840B1" w:rsidRDefault="00EA58B2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4591" w:type="dxa"/>
          </w:tcPr>
          <w:p w14:paraId="37DA0B72" w14:textId="3032D4EB" w:rsidR="00617E11" w:rsidRPr="00B840B1" w:rsidRDefault="00EA58B2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2 мг/л.</w:t>
            </w:r>
          </w:p>
        </w:tc>
      </w:tr>
      <w:tr w:rsidR="00617E11" w:rsidRPr="00B840B1" w14:paraId="2F6E29A7" w14:textId="77777777" w:rsidTr="00B840B1">
        <w:tc>
          <w:tcPr>
            <w:tcW w:w="2387" w:type="dxa"/>
          </w:tcPr>
          <w:p w14:paraId="1153C36F" w14:textId="7679326C" w:rsidR="00617E11" w:rsidRPr="00B840B1" w:rsidRDefault="00EA58B2" w:rsidP="00B840B1">
            <w:pPr>
              <w:spacing w:before="120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Меропенем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</w:t>
            </w:r>
          </w:p>
        </w:tc>
        <w:tc>
          <w:tcPr>
            <w:tcW w:w="1406" w:type="dxa"/>
          </w:tcPr>
          <w:p w14:paraId="557D2335" w14:textId="6B6093FD" w:rsidR="00617E11" w:rsidRPr="00B840B1" w:rsidRDefault="00EA58B2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1534" w:type="dxa"/>
          </w:tcPr>
          <w:p w14:paraId="3CBC96B3" w14:textId="731A4B57" w:rsidR="00617E11" w:rsidRPr="00B840B1" w:rsidRDefault="00EA58B2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4591" w:type="dxa"/>
          </w:tcPr>
          <w:p w14:paraId="29EE20D4" w14:textId="0747D003" w:rsidR="00617E11" w:rsidRPr="00B840B1" w:rsidRDefault="00EA58B2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0.25 - 2 мг/л.</w:t>
            </w:r>
          </w:p>
        </w:tc>
      </w:tr>
      <w:tr w:rsidR="00617E11" w:rsidRPr="00B840B1" w14:paraId="2A81A19D" w14:textId="77777777" w:rsidTr="00B840B1">
        <w:tc>
          <w:tcPr>
            <w:tcW w:w="2387" w:type="dxa"/>
          </w:tcPr>
          <w:p w14:paraId="022E1EA5" w14:textId="2481BD48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Ципрофлоксацин</w:t>
            </w:r>
            <w:proofErr w:type="spellEnd"/>
          </w:p>
        </w:tc>
        <w:tc>
          <w:tcPr>
            <w:tcW w:w="1406" w:type="dxa"/>
          </w:tcPr>
          <w:p w14:paraId="3E5A494D" w14:textId="609E3356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0.25</w:t>
            </w:r>
          </w:p>
        </w:tc>
        <w:tc>
          <w:tcPr>
            <w:tcW w:w="1534" w:type="dxa"/>
          </w:tcPr>
          <w:p w14:paraId="28BAF302" w14:textId="44FDA379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0.25</w:t>
            </w:r>
          </w:p>
        </w:tc>
        <w:tc>
          <w:tcPr>
            <w:tcW w:w="4591" w:type="dxa"/>
          </w:tcPr>
          <w:p w14:paraId="27094AA7" w14:textId="55D6F423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0.25-1 мг/л.</w:t>
            </w:r>
          </w:p>
        </w:tc>
      </w:tr>
      <w:tr w:rsidR="00617E11" w:rsidRPr="00B840B1" w14:paraId="2117975E" w14:textId="77777777" w:rsidTr="00B840B1">
        <w:tc>
          <w:tcPr>
            <w:tcW w:w="2387" w:type="dxa"/>
          </w:tcPr>
          <w:p w14:paraId="0A999D31" w14:textId="12CB0226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Левофлоксацин</w:t>
            </w:r>
            <w:proofErr w:type="spellEnd"/>
          </w:p>
        </w:tc>
        <w:tc>
          <w:tcPr>
            <w:tcW w:w="1406" w:type="dxa"/>
          </w:tcPr>
          <w:p w14:paraId="423013AD" w14:textId="4D957FAE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496FBA80" w14:textId="58673B5F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4591" w:type="dxa"/>
          </w:tcPr>
          <w:p w14:paraId="5E52947E" w14:textId="610F1AC2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0.25-1 мг/л.</w:t>
            </w:r>
          </w:p>
        </w:tc>
      </w:tr>
      <w:tr w:rsidR="00617E11" w:rsidRPr="00B840B1" w14:paraId="03A12DDD" w14:textId="77777777" w:rsidTr="00B840B1">
        <w:tc>
          <w:tcPr>
            <w:tcW w:w="2387" w:type="dxa"/>
          </w:tcPr>
          <w:p w14:paraId="68E059B8" w14:textId="3A0DC53D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Моксифлоксацин</w:t>
            </w:r>
            <w:proofErr w:type="spellEnd"/>
          </w:p>
        </w:tc>
        <w:tc>
          <w:tcPr>
            <w:tcW w:w="1406" w:type="dxa"/>
          </w:tcPr>
          <w:p w14:paraId="01DEE341" w14:textId="143181BD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0.25</w:t>
            </w:r>
          </w:p>
        </w:tc>
        <w:tc>
          <w:tcPr>
            <w:tcW w:w="1534" w:type="dxa"/>
          </w:tcPr>
          <w:p w14:paraId="5EC0EE4E" w14:textId="4FD015EB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0.25</w:t>
            </w:r>
          </w:p>
        </w:tc>
        <w:tc>
          <w:tcPr>
            <w:tcW w:w="4591" w:type="dxa"/>
          </w:tcPr>
          <w:p w14:paraId="2A83214C" w14:textId="040815DE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становлять0.125-0.5 мг/л.</w:t>
            </w:r>
          </w:p>
        </w:tc>
      </w:tr>
      <w:tr w:rsidR="00617E11" w:rsidRPr="00B840B1" w14:paraId="793FDD50" w14:textId="77777777" w:rsidTr="00B840B1">
        <w:tc>
          <w:tcPr>
            <w:tcW w:w="2387" w:type="dxa"/>
          </w:tcPr>
          <w:p w14:paraId="7762F151" w14:textId="42A91081" w:rsidR="00617E11" w:rsidRPr="00B840B1" w:rsidRDefault="004A3D8E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Кліндаміцин</w:t>
            </w:r>
            <w:proofErr w:type="spellEnd"/>
          </w:p>
        </w:tc>
        <w:tc>
          <w:tcPr>
            <w:tcW w:w="1406" w:type="dxa"/>
          </w:tcPr>
          <w:p w14:paraId="29D097C1" w14:textId="1FE40271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425A8D2C" w14:textId="3C9528FE" w:rsidR="00617E11" w:rsidRPr="00B840B1" w:rsidRDefault="004A3D8E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26E6A475" w14:textId="2D1138AB" w:rsidR="00617E11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0.25-0.5 мг/л</w:t>
            </w:r>
            <w:r w:rsidR="004A3D8E"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.</w:t>
            </w:r>
          </w:p>
        </w:tc>
      </w:tr>
      <w:tr w:rsidR="00617E11" w:rsidRPr="00B840B1" w14:paraId="5C4C42BF" w14:textId="77777777" w:rsidTr="00B840B1">
        <w:tc>
          <w:tcPr>
            <w:tcW w:w="2387" w:type="dxa"/>
          </w:tcPr>
          <w:p w14:paraId="76BC6513" w14:textId="5BF506B0" w:rsidR="00617E11" w:rsidRPr="00B840B1" w:rsidRDefault="00BD7B88" w:rsidP="00BD7B88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Тетрациклін (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дослідіть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тетрациклін,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повідомте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доксициклін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та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міноциклін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)</w:t>
            </w:r>
          </w:p>
        </w:tc>
        <w:tc>
          <w:tcPr>
            <w:tcW w:w="1406" w:type="dxa"/>
          </w:tcPr>
          <w:p w14:paraId="347E7952" w14:textId="18B5E985" w:rsidR="00617E11" w:rsidRPr="00B840B1" w:rsidRDefault="00BD7B88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1534" w:type="dxa"/>
          </w:tcPr>
          <w:p w14:paraId="01FAFBDE" w14:textId="1111990B" w:rsidR="00BD7B88" w:rsidRPr="00B840B1" w:rsidRDefault="00BD7B88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  <w:p w14:paraId="64152ECB" w14:textId="6B28EC5F" w:rsidR="00BD7B88" w:rsidRPr="00B840B1" w:rsidRDefault="00BD7B88" w:rsidP="00B840B1">
            <w:pPr>
              <w:jc w:val="center"/>
              <w:rPr>
                <w:rFonts w:ascii="Arial" w:eastAsia="Arial" w:hAnsi="Arial" w:cs="Arial"/>
                <w:i/>
                <w:iCs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i/>
                <w:iCs/>
                <w:color w:val="auto"/>
                <w:sz w:val="16"/>
                <w:szCs w:val="16"/>
                <w:lang w:val="uk-UA" w:bidi="ar-SA"/>
              </w:rPr>
              <w:t>Для грам негативних мікроорганізмів інших ніж</w:t>
            </w:r>
          </w:p>
          <w:p w14:paraId="73011C86" w14:textId="1C00ED41" w:rsidR="00617E11" w:rsidRPr="00B840B1" w:rsidRDefault="00BD7B88" w:rsidP="00B840B1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B840B1">
              <w:rPr>
                <w:i/>
                <w:iCs/>
                <w:sz w:val="16"/>
                <w:szCs w:val="16"/>
              </w:rPr>
              <w:t>Enterobacterales</w:t>
            </w:r>
            <w:proofErr w:type="spellEnd"/>
          </w:p>
        </w:tc>
        <w:tc>
          <w:tcPr>
            <w:tcW w:w="4591" w:type="dxa"/>
          </w:tcPr>
          <w:p w14:paraId="0CB02370" w14:textId="7BFD5138" w:rsidR="00617E11" w:rsidRPr="00B840B1" w:rsidRDefault="00BD7B88" w:rsidP="00BD7B88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Для тетрацикліну (як представника тетрацикліну,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доксицикліну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та </w:t>
            </w: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міноцикліну</w:t>
            </w:r>
            <w:proofErr w:type="spellEnd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) специфічні 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граничні значення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становлять 0,5–2 мг/л.</w:t>
            </w:r>
          </w:p>
        </w:tc>
      </w:tr>
      <w:tr w:rsidR="00617E11" w:rsidRPr="00B840B1" w14:paraId="69F27570" w14:textId="77777777" w:rsidTr="00B840B1">
        <w:tc>
          <w:tcPr>
            <w:tcW w:w="2387" w:type="dxa"/>
          </w:tcPr>
          <w:p w14:paraId="06AC42B6" w14:textId="021A704D" w:rsidR="00617E11" w:rsidRPr="00B840B1" w:rsidRDefault="00BD7B88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Триметоприм-сульфаметоксазол</w:t>
            </w:r>
            <w:proofErr w:type="spellEnd"/>
          </w:p>
        </w:tc>
        <w:tc>
          <w:tcPr>
            <w:tcW w:w="1406" w:type="dxa"/>
          </w:tcPr>
          <w:p w14:paraId="1987EAAE" w14:textId="4B52FE4F" w:rsidR="00617E11" w:rsidRPr="00B840B1" w:rsidRDefault="00BD7B88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</w:p>
        </w:tc>
        <w:tc>
          <w:tcPr>
            <w:tcW w:w="1534" w:type="dxa"/>
          </w:tcPr>
          <w:p w14:paraId="0E42CF49" w14:textId="49F2E95A" w:rsidR="00617E11" w:rsidRPr="00B840B1" w:rsidRDefault="00BD7B88" w:rsidP="00B840B1">
            <w:pPr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</w:p>
        </w:tc>
        <w:tc>
          <w:tcPr>
            <w:tcW w:w="4591" w:type="dxa"/>
          </w:tcPr>
          <w:p w14:paraId="3416CE3B" w14:textId="66886C4E" w:rsidR="00617E11" w:rsidRPr="00B840B1" w:rsidRDefault="00BD7B88" w:rsidP="00617E11">
            <w:pPr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0.5-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мг/л</w:t>
            </w:r>
          </w:p>
        </w:tc>
      </w:tr>
      <w:tr w:rsidR="00BD7B88" w:rsidRPr="00B840B1" w14:paraId="58FED915" w14:textId="77777777" w:rsidTr="00B840B1">
        <w:tc>
          <w:tcPr>
            <w:tcW w:w="2387" w:type="dxa"/>
          </w:tcPr>
          <w:p w14:paraId="2024FFD6" w14:textId="77777777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  <w:tc>
          <w:tcPr>
            <w:tcW w:w="1406" w:type="dxa"/>
          </w:tcPr>
          <w:p w14:paraId="46777B8D" w14:textId="77777777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  <w:tc>
          <w:tcPr>
            <w:tcW w:w="1534" w:type="dxa"/>
          </w:tcPr>
          <w:p w14:paraId="70CB9CA6" w14:textId="77777777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  <w:tc>
          <w:tcPr>
            <w:tcW w:w="4591" w:type="dxa"/>
          </w:tcPr>
          <w:p w14:paraId="4E4570A2" w14:textId="77777777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</w:p>
        </w:tc>
      </w:tr>
      <w:tr w:rsidR="00BD7B88" w:rsidRPr="00B840B1" w14:paraId="310CF1E4" w14:textId="77777777" w:rsidTr="00B840B1">
        <w:tc>
          <w:tcPr>
            <w:tcW w:w="2387" w:type="dxa"/>
          </w:tcPr>
          <w:p w14:paraId="563DDE42" w14:textId="083DE2B7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Тайгециклін</w:t>
            </w:r>
            <w:proofErr w:type="spellEnd"/>
          </w:p>
        </w:tc>
        <w:tc>
          <w:tcPr>
            <w:tcW w:w="1406" w:type="dxa"/>
          </w:tcPr>
          <w:p w14:paraId="1E8479B2" w14:textId="3710347E" w:rsidR="00BD7B88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0.5</w:t>
            </w:r>
          </w:p>
        </w:tc>
        <w:tc>
          <w:tcPr>
            <w:tcW w:w="1534" w:type="dxa"/>
          </w:tcPr>
          <w:p w14:paraId="5B3D74D5" w14:textId="28BE04E4" w:rsidR="00BD7B88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5FB8010B" w14:textId="4528039E" w:rsidR="00BD7B88" w:rsidRPr="00B840B1" w:rsidRDefault="00BD7B88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25-0.5 мг/л</w:t>
            </w:r>
          </w:p>
        </w:tc>
      </w:tr>
      <w:tr w:rsidR="00B840B1" w:rsidRPr="00B840B1" w14:paraId="5C3FB017" w14:textId="77777777" w:rsidTr="00B840B1">
        <w:tc>
          <w:tcPr>
            <w:tcW w:w="2387" w:type="dxa"/>
          </w:tcPr>
          <w:p w14:paraId="0530D4B4" w14:textId="69C1BED4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Рифампіцин</w:t>
            </w:r>
            <w:proofErr w:type="spellEnd"/>
          </w:p>
        </w:tc>
        <w:tc>
          <w:tcPr>
            <w:tcW w:w="1406" w:type="dxa"/>
          </w:tcPr>
          <w:p w14:paraId="3D5CA601" w14:textId="7BE6E283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0.125</w:t>
            </w:r>
          </w:p>
        </w:tc>
        <w:tc>
          <w:tcPr>
            <w:tcW w:w="1534" w:type="dxa"/>
          </w:tcPr>
          <w:p w14:paraId="26594492" w14:textId="6FFA01E4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49A86536" w14:textId="48E1B52C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06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-0.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12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5 мг/л</w:t>
            </w:r>
          </w:p>
        </w:tc>
      </w:tr>
      <w:tr w:rsidR="00B840B1" w:rsidRPr="00B840B1" w14:paraId="5FB07E54" w14:textId="77777777" w:rsidTr="00B840B1">
        <w:tc>
          <w:tcPr>
            <w:tcW w:w="2387" w:type="dxa"/>
          </w:tcPr>
          <w:p w14:paraId="18CCD84C" w14:textId="43D68B47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Лінезолід</w:t>
            </w:r>
            <w:proofErr w:type="spellEnd"/>
          </w:p>
        </w:tc>
        <w:tc>
          <w:tcPr>
            <w:tcW w:w="1406" w:type="dxa"/>
          </w:tcPr>
          <w:p w14:paraId="059291C9" w14:textId="638CC694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1534" w:type="dxa"/>
          </w:tcPr>
          <w:p w14:paraId="62EF8C02" w14:textId="65277226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1ADB0737" w14:textId="0FC98AA8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Специфічні для виду межі часто становлять 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-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4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мг/л</w:t>
            </w:r>
          </w:p>
        </w:tc>
      </w:tr>
      <w:tr w:rsidR="00B840B1" w:rsidRPr="00B840B1" w14:paraId="4ABA08BA" w14:textId="77777777" w:rsidTr="00B840B1">
        <w:tc>
          <w:tcPr>
            <w:tcW w:w="2387" w:type="dxa"/>
          </w:tcPr>
          <w:p w14:paraId="267B2E5A" w14:textId="4722F06B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Ванкоміцин</w:t>
            </w:r>
            <w:proofErr w:type="spellEnd"/>
          </w:p>
        </w:tc>
        <w:tc>
          <w:tcPr>
            <w:tcW w:w="1406" w:type="dxa"/>
          </w:tcPr>
          <w:p w14:paraId="5EAE0318" w14:textId="2AAB19DF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</w:t>
            </w:r>
          </w:p>
        </w:tc>
        <w:tc>
          <w:tcPr>
            <w:tcW w:w="1534" w:type="dxa"/>
          </w:tcPr>
          <w:p w14:paraId="54B985BC" w14:textId="3553126B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6C4C6B37" w14:textId="6EC9017C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Специфічні для виду межі часто становлять 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2 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мг/л</w:t>
            </w:r>
          </w:p>
        </w:tc>
      </w:tr>
      <w:tr w:rsidR="00B840B1" w:rsidRPr="00B840B1" w14:paraId="50BEC63A" w14:textId="77777777" w:rsidTr="00B840B1">
        <w:tc>
          <w:tcPr>
            <w:tcW w:w="2387" w:type="dxa"/>
          </w:tcPr>
          <w:p w14:paraId="7F6023CC" w14:textId="1A2A1F5E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Далбаванцин</w:t>
            </w:r>
            <w:proofErr w:type="spellEnd"/>
          </w:p>
        </w:tc>
        <w:tc>
          <w:tcPr>
            <w:tcW w:w="1406" w:type="dxa"/>
          </w:tcPr>
          <w:p w14:paraId="264A3861" w14:textId="1767746F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0.125</w:t>
            </w:r>
          </w:p>
        </w:tc>
        <w:tc>
          <w:tcPr>
            <w:tcW w:w="1534" w:type="dxa"/>
          </w:tcPr>
          <w:p w14:paraId="0861B10A" w14:textId="4EF65AF4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26D19145" w14:textId="1CBF0447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Специфічні для виду межі часто становлять 0.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25 мг/л</w:t>
            </w:r>
          </w:p>
        </w:tc>
      </w:tr>
      <w:tr w:rsidR="00B840B1" w:rsidRPr="00B840B1" w14:paraId="35DD0A38" w14:textId="77777777" w:rsidTr="00B840B1">
        <w:tc>
          <w:tcPr>
            <w:tcW w:w="2387" w:type="dxa"/>
          </w:tcPr>
          <w:p w14:paraId="0316ADA7" w14:textId="62B69314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proofErr w:type="spellStart"/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Даптоміцин</w:t>
            </w:r>
            <w:proofErr w:type="spellEnd"/>
          </w:p>
        </w:tc>
        <w:tc>
          <w:tcPr>
            <w:tcW w:w="1406" w:type="dxa"/>
          </w:tcPr>
          <w:p w14:paraId="1810988B" w14:textId="76EA8868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</w:p>
        </w:tc>
        <w:tc>
          <w:tcPr>
            <w:tcW w:w="1534" w:type="dxa"/>
          </w:tcPr>
          <w:p w14:paraId="4FB8BACE" w14:textId="5C0C1270" w:rsidR="00B840B1" w:rsidRPr="00B840B1" w:rsidRDefault="00B840B1" w:rsidP="00B840B1">
            <w:pPr>
              <w:spacing w:before="120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НА</w:t>
            </w:r>
          </w:p>
        </w:tc>
        <w:tc>
          <w:tcPr>
            <w:tcW w:w="4591" w:type="dxa"/>
          </w:tcPr>
          <w:p w14:paraId="7CE3450D" w14:textId="33207D47" w:rsidR="00B840B1" w:rsidRPr="00B840B1" w:rsidRDefault="00B840B1" w:rsidP="00B840B1">
            <w:pPr>
              <w:spacing w:before="120"/>
              <w:jc w:val="both"/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</w:pP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Специфічні для виду межі часто становлять 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>1</w:t>
            </w:r>
            <w:r w:rsidRPr="00B840B1">
              <w:rPr>
                <w:rFonts w:ascii="Arial" w:eastAsia="Arial" w:hAnsi="Arial" w:cs="Arial"/>
                <w:color w:val="auto"/>
                <w:sz w:val="16"/>
                <w:szCs w:val="16"/>
                <w:lang w:val="uk-UA" w:bidi="ar-SA"/>
              </w:rPr>
              <w:t xml:space="preserve"> мг/л</w:t>
            </w:r>
          </w:p>
        </w:tc>
      </w:tr>
    </w:tbl>
    <w:p w14:paraId="676A05CA" w14:textId="77777777" w:rsidR="00617E11" w:rsidRDefault="00617E11" w:rsidP="00617E11">
      <w:pPr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5B88E7AC" w14:textId="3471EC3A" w:rsidR="00617E11" w:rsidRDefault="00617E11" w:rsidP="00617E11">
      <w:pPr>
        <w:jc w:val="both"/>
        <w:rPr>
          <w:rFonts w:ascii="Arial" w:eastAsia="Arial" w:hAnsi="Arial" w:cs="Arial"/>
          <w:color w:val="auto"/>
          <w:lang w:val="uk-UA" w:bidi="ar-SA"/>
        </w:rPr>
      </w:pPr>
    </w:p>
    <w:p w14:paraId="118039F3" w14:textId="7F3BE0B0" w:rsidR="00B840B1" w:rsidRDefault="00B840B1" w:rsidP="00617E11">
      <w:pPr>
        <w:jc w:val="both"/>
        <w:rPr>
          <w:rFonts w:ascii="Arial" w:eastAsia="Arial" w:hAnsi="Arial" w:cs="Arial"/>
          <w:color w:val="auto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B840B1" w:rsidRPr="008A3193" w14:paraId="6B4009D2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088D7313" w14:textId="77777777" w:rsidR="00B840B1" w:rsidRDefault="00B840B1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677DAF1A" wp14:editId="5BB3543B">
                  <wp:extent cx="2075291" cy="44120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35846716" w14:textId="77777777" w:rsidR="00B840B1" w:rsidRPr="00F044CE" w:rsidRDefault="00B840B1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33737FE6" w14:textId="77777777" w:rsidR="00B840B1" w:rsidRPr="00F044CE" w:rsidRDefault="00B840B1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70FE6A47" w14:textId="77777777" w:rsidR="00B840B1" w:rsidRPr="00F044CE" w:rsidRDefault="00B840B1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B840B1" w:rsidRPr="008A3193" w14:paraId="4417FE25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12C5AA03" w14:textId="77777777" w:rsidR="00B840B1" w:rsidRPr="00F044CE" w:rsidRDefault="00B840B1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530F7314" w14:textId="77777777" w:rsidR="00B840B1" w:rsidRPr="00B840B1" w:rsidRDefault="00B840B1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3CD8A27" w14:textId="4660579A" w:rsidR="00B840B1" w:rsidRPr="00B840B1" w:rsidRDefault="00B840B1" w:rsidP="00B840B1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bidi="ar-SA"/>
        </w:rPr>
      </w:pPr>
      <w:r w:rsidRPr="00B840B1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Таблиця 2. Протимікробні препарати, що стосуються лікування анаеробних бактерій, із вказівками для бактерій, у яких відсутні </w:t>
      </w:r>
      <w:r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>граничні значення</w:t>
      </w:r>
      <w:r w:rsidRPr="00B840B1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 в стандартних таблицях </w:t>
      </w:r>
      <w:r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граничних значень </w:t>
      </w:r>
      <w:r>
        <w:rPr>
          <w:rFonts w:ascii="Arial" w:eastAsia="Arial" w:hAnsi="Arial" w:cs="Arial"/>
          <w:b/>
          <w:bCs/>
          <w:color w:val="auto"/>
          <w:sz w:val="20"/>
          <w:szCs w:val="20"/>
          <w:lang w:bidi="ar-SA"/>
        </w:rPr>
        <w:t>EUCAST</w:t>
      </w:r>
    </w:p>
    <w:p w14:paraId="1C928047" w14:textId="77777777" w:rsidR="00B840B1" w:rsidRPr="00B840B1" w:rsidRDefault="00B840B1" w:rsidP="00B840B1">
      <w:pPr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</w:p>
    <w:p w14:paraId="3727AFBB" w14:textId="709DABDD" w:rsidR="00B840B1" w:rsidRDefault="00B840B1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Визначте МІК і порівняйте з числовими значеннями, щоб оцінити мікробіологічну активність </w:t>
      </w:r>
      <w:proofErr w:type="spellStart"/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агента</w:t>
      </w:r>
      <w:proofErr w:type="spellEnd"/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проти виду. Слід уникати клінічного застосування засобів, для яких значення МІК є вищими, ніж перелічені нижче, у той час як препарати, для яких МІК є однаковими або нижчими, можна розглядати для терапії. Уникайте звітності про ізоляти </w:t>
      </w:r>
      <w:r>
        <w:rPr>
          <w:rFonts w:ascii="Arial" w:eastAsia="Arial" w:hAnsi="Arial" w:cs="Arial"/>
          <w:color w:val="auto"/>
          <w:sz w:val="20"/>
          <w:szCs w:val="20"/>
          <w:lang w:val="uk-UA" w:bidi="ar-SA"/>
        </w:rPr>
        <w:t>Ч</w:t>
      </w: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, </w:t>
      </w:r>
      <w:r>
        <w:rPr>
          <w:rFonts w:ascii="Arial" w:eastAsia="Arial" w:hAnsi="Arial" w:cs="Arial"/>
          <w:color w:val="auto"/>
          <w:sz w:val="20"/>
          <w:szCs w:val="20"/>
          <w:lang w:val="uk-UA" w:bidi="ar-SA"/>
        </w:rPr>
        <w:t>П</w:t>
      </w: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або </w:t>
      </w:r>
      <w:r>
        <w:rPr>
          <w:rFonts w:ascii="Arial" w:eastAsia="Arial" w:hAnsi="Arial" w:cs="Arial"/>
          <w:color w:val="auto"/>
          <w:sz w:val="20"/>
          <w:szCs w:val="20"/>
          <w:lang w:val="uk-UA" w:bidi="ar-SA"/>
        </w:rPr>
        <w:t>С</w:t>
      </w: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- натомість додайте коментар, щоб перешкодити або розглянути терапію. Запропоновані значення базуються на (i) компромісі між поточними чутливими (</w:t>
      </w:r>
      <w:r>
        <w:rPr>
          <w:rFonts w:ascii="Arial" w:eastAsia="Arial" w:hAnsi="Arial" w:cs="Arial"/>
          <w:color w:val="auto"/>
          <w:sz w:val="20"/>
          <w:szCs w:val="20"/>
          <w:lang w:val="uk-UA" w:bidi="ar-SA"/>
        </w:rPr>
        <w:t>Ч</w:t>
      </w: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або </w:t>
      </w:r>
      <w:r>
        <w:rPr>
          <w:rFonts w:ascii="Arial" w:eastAsia="Arial" w:hAnsi="Arial" w:cs="Arial"/>
          <w:color w:val="auto"/>
          <w:sz w:val="20"/>
          <w:szCs w:val="20"/>
          <w:lang w:val="uk-UA" w:bidi="ar-SA"/>
        </w:rPr>
        <w:t>П</w:t>
      </w:r>
      <w:r w:rsidRPr="00B840B1">
        <w:rPr>
          <w:rFonts w:ascii="Arial" w:eastAsia="Arial" w:hAnsi="Arial" w:cs="Arial"/>
          <w:color w:val="auto"/>
          <w:sz w:val="20"/>
          <w:szCs w:val="20"/>
          <w:lang w:val="uk-UA" w:bidi="ar-SA"/>
        </w:rPr>
        <w:t>) значеннями EUCAST для анаеробних видів, які вже є в таблицях, (ii) розподілом мікроорганізмів дикого типу, якщо вони є, та (iii) пороговими значеннями ФК/ФД .</w:t>
      </w:r>
    </w:p>
    <w:p w14:paraId="6BD71E64" w14:textId="36B5CBC1" w:rsidR="00B840B1" w:rsidRDefault="00B840B1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972"/>
        <w:gridCol w:w="2220"/>
        <w:gridCol w:w="4726"/>
      </w:tblGrid>
      <w:tr w:rsidR="00B840B1" w:rsidRPr="00130B63" w14:paraId="7762F3F5" w14:textId="77777777" w:rsidTr="00130B63">
        <w:tc>
          <w:tcPr>
            <w:tcW w:w="2972" w:type="dxa"/>
          </w:tcPr>
          <w:p w14:paraId="1EBCAF05" w14:textId="29A1654F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Препарат і примітки щодо анаеробних бактерій</w:t>
            </w:r>
          </w:p>
        </w:tc>
        <w:tc>
          <w:tcPr>
            <w:tcW w:w="2220" w:type="dxa"/>
          </w:tcPr>
          <w:p w14:paraId="47931CC5" w14:textId="34AF7E74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Значення МІК, вище яких терапія препаратом не рекомендується</w:t>
            </w:r>
          </w:p>
        </w:tc>
        <w:tc>
          <w:tcPr>
            <w:tcW w:w="4726" w:type="dxa"/>
          </w:tcPr>
          <w:p w14:paraId="71C3961E" w14:textId="77777777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</w:p>
        </w:tc>
      </w:tr>
      <w:tr w:rsidR="00B840B1" w:rsidRPr="00130B63" w14:paraId="55267E00" w14:textId="77777777" w:rsidTr="00130B63">
        <w:tc>
          <w:tcPr>
            <w:tcW w:w="2972" w:type="dxa"/>
          </w:tcPr>
          <w:p w14:paraId="2A35EFF9" w14:textId="0369EFE6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Бензилпеніцилін</w:t>
            </w:r>
            <w:proofErr w:type="spellEnd"/>
          </w:p>
        </w:tc>
        <w:tc>
          <w:tcPr>
            <w:tcW w:w="2220" w:type="dxa"/>
          </w:tcPr>
          <w:p w14:paraId="7243E192" w14:textId="55FD58A6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0.5</w:t>
            </w:r>
          </w:p>
        </w:tc>
        <w:tc>
          <w:tcPr>
            <w:tcW w:w="4726" w:type="dxa"/>
          </w:tcPr>
          <w:p w14:paraId="49D8198D" w14:textId="56786B68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анаеробних бактерій у таблиці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граничних значень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становлять 0,06 – 0,5 мг/л.</w:t>
            </w:r>
          </w:p>
          <w:p w14:paraId="31318E22" w14:textId="025914F0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Якщо виявлено бета-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лактамазу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, 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повідомте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про стійкість без подальшого тестування.</w:t>
            </w:r>
          </w:p>
        </w:tc>
      </w:tr>
      <w:tr w:rsidR="00B840B1" w:rsidRPr="00130B63" w14:paraId="56C2CB84" w14:textId="77777777" w:rsidTr="00130B63">
        <w:tc>
          <w:tcPr>
            <w:tcW w:w="2972" w:type="dxa"/>
          </w:tcPr>
          <w:p w14:paraId="40BCA310" w14:textId="3EAC8405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Амоксицилін</w:t>
            </w:r>
            <w:proofErr w:type="spellEnd"/>
          </w:p>
        </w:tc>
        <w:tc>
          <w:tcPr>
            <w:tcW w:w="2220" w:type="dxa"/>
          </w:tcPr>
          <w:p w14:paraId="1FC86738" w14:textId="4B9A9531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0.5</w:t>
            </w:r>
          </w:p>
        </w:tc>
        <w:tc>
          <w:tcPr>
            <w:tcW w:w="4726" w:type="dxa"/>
          </w:tcPr>
          <w:p w14:paraId="34DA838B" w14:textId="241D1D63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анаеробних бактерій у таблиці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граничних значень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становлять 0,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25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– 0,5 мг/л.</w:t>
            </w:r>
          </w:p>
          <w:p w14:paraId="662C90FB" w14:textId="3DF54E1A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Якщо виявлено бета-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лактамазу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, 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повідомте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про стійкість без подальшого тестування.</w:t>
            </w:r>
          </w:p>
        </w:tc>
      </w:tr>
      <w:tr w:rsidR="00B840B1" w:rsidRPr="00130B63" w14:paraId="54DEAEBC" w14:textId="77777777" w:rsidTr="00130B63">
        <w:tc>
          <w:tcPr>
            <w:tcW w:w="2972" w:type="dxa"/>
          </w:tcPr>
          <w:p w14:paraId="0A067B18" w14:textId="0EFC9613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Амоксицилін-клавуланова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к-та</w:t>
            </w:r>
          </w:p>
        </w:tc>
        <w:tc>
          <w:tcPr>
            <w:tcW w:w="2220" w:type="dxa"/>
          </w:tcPr>
          <w:p w14:paraId="35AD1007" w14:textId="3DD55E56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0.5</w:t>
            </w:r>
          </w:p>
        </w:tc>
        <w:tc>
          <w:tcPr>
            <w:tcW w:w="4726" w:type="dxa"/>
          </w:tcPr>
          <w:p w14:paraId="4B4C9AE2" w14:textId="763ECDAA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анаеробних бактерій у таблиці </w:t>
            </w:r>
            <w:r w:rsidR="00130B63"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граничних значень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становлять 0,25 – 0,5 мг/л.</w:t>
            </w:r>
          </w:p>
        </w:tc>
      </w:tr>
      <w:tr w:rsidR="00B840B1" w:rsidRPr="00130B63" w14:paraId="7755BB03" w14:textId="77777777" w:rsidTr="00130B63">
        <w:tc>
          <w:tcPr>
            <w:tcW w:w="2972" w:type="dxa"/>
          </w:tcPr>
          <w:p w14:paraId="7DE24BF1" w14:textId="488BDF05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Ампіцилін-сульбактам</w:t>
            </w:r>
            <w:proofErr w:type="spellEnd"/>
          </w:p>
        </w:tc>
        <w:tc>
          <w:tcPr>
            <w:tcW w:w="2220" w:type="dxa"/>
          </w:tcPr>
          <w:p w14:paraId="6D886119" w14:textId="5430F1C2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0.5</w:t>
            </w:r>
          </w:p>
        </w:tc>
        <w:tc>
          <w:tcPr>
            <w:tcW w:w="4726" w:type="dxa"/>
          </w:tcPr>
          <w:p w14:paraId="2401E25C" w14:textId="5DCD3902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Граничні значення для анаеробних бактерій у таблиці граничних значень становлять 0,25 – 0,5 мг/л.</w:t>
            </w:r>
          </w:p>
        </w:tc>
      </w:tr>
      <w:tr w:rsidR="00B840B1" w:rsidRPr="00130B63" w14:paraId="57808A7A" w14:textId="77777777" w:rsidTr="00130B63">
        <w:tc>
          <w:tcPr>
            <w:tcW w:w="2972" w:type="dxa"/>
          </w:tcPr>
          <w:p w14:paraId="2EF448E5" w14:textId="56468D49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Піперацилін-тазобактам</w:t>
            </w:r>
            <w:proofErr w:type="spellEnd"/>
          </w:p>
        </w:tc>
        <w:tc>
          <w:tcPr>
            <w:tcW w:w="2220" w:type="dxa"/>
          </w:tcPr>
          <w:p w14:paraId="6C9D34C2" w14:textId="74B783CD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2</w:t>
            </w:r>
          </w:p>
        </w:tc>
        <w:tc>
          <w:tcPr>
            <w:tcW w:w="4726" w:type="dxa"/>
          </w:tcPr>
          <w:p w14:paraId="65FDDFD3" w14:textId="6F1E3032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анаеробних бактерій у таблиці граничних значень становлять 0,5 –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2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мг/л.</w:t>
            </w:r>
          </w:p>
        </w:tc>
      </w:tr>
      <w:tr w:rsidR="00B840B1" w:rsidRPr="00130B63" w14:paraId="6E53F43B" w14:textId="77777777" w:rsidTr="00130B63">
        <w:tc>
          <w:tcPr>
            <w:tcW w:w="2972" w:type="dxa"/>
          </w:tcPr>
          <w:p w14:paraId="794D4894" w14:textId="1135C821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Меропенем</w:t>
            </w:r>
            <w:proofErr w:type="spellEnd"/>
          </w:p>
        </w:tc>
        <w:tc>
          <w:tcPr>
            <w:tcW w:w="2220" w:type="dxa"/>
          </w:tcPr>
          <w:p w14:paraId="24E642F0" w14:textId="3F4857FE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1</w:t>
            </w:r>
          </w:p>
        </w:tc>
        <w:tc>
          <w:tcPr>
            <w:tcW w:w="4726" w:type="dxa"/>
          </w:tcPr>
          <w:p w14:paraId="30A2BDB1" w14:textId="02F1C282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Граничні значення для анаеробних бактерій у таблиці граничних значень становлять 0,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03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–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1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мг/л.</w:t>
            </w:r>
          </w:p>
        </w:tc>
      </w:tr>
      <w:tr w:rsidR="00B840B1" w:rsidRPr="00130B63" w14:paraId="4E18F307" w14:textId="77777777" w:rsidTr="00130B63">
        <w:tc>
          <w:tcPr>
            <w:tcW w:w="2972" w:type="dxa"/>
          </w:tcPr>
          <w:p w14:paraId="25CD7FD5" w14:textId="417526F7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Іміпенем</w:t>
            </w:r>
            <w:proofErr w:type="spellEnd"/>
          </w:p>
        </w:tc>
        <w:tc>
          <w:tcPr>
            <w:tcW w:w="2220" w:type="dxa"/>
          </w:tcPr>
          <w:p w14:paraId="57ADE6B8" w14:textId="55648350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1</w:t>
            </w:r>
          </w:p>
        </w:tc>
        <w:tc>
          <w:tcPr>
            <w:tcW w:w="4726" w:type="dxa"/>
          </w:tcPr>
          <w:p w14:paraId="4579009A" w14:textId="229DFCDA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Граничні значення для анаеробних бактерій у таблиці граничних значень становлять 0,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03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–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1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мг/л.</w:t>
            </w:r>
          </w:p>
        </w:tc>
      </w:tr>
      <w:tr w:rsidR="00B840B1" w:rsidRPr="00130B63" w14:paraId="545E5CFD" w14:textId="77777777" w:rsidTr="00130B63">
        <w:tc>
          <w:tcPr>
            <w:tcW w:w="2972" w:type="dxa"/>
          </w:tcPr>
          <w:p w14:paraId="5A42223B" w14:textId="3D2EB46A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Ертапенем</w:t>
            </w:r>
            <w:proofErr w:type="spellEnd"/>
          </w:p>
        </w:tc>
        <w:tc>
          <w:tcPr>
            <w:tcW w:w="2220" w:type="dxa"/>
          </w:tcPr>
          <w:p w14:paraId="3628086D" w14:textId="13FF7585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0.25</w:t>
            </w:r>
          </w:p>
        </w:tc>
        <w:tc>
          <w:tcPr>
            <w:tcW w:w="4726" w:type="dxa"/>
          </w:tcPr>
          <w:p w14:paraId="38D81304" w14:textId="433CF18D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Граничні значення для анаеробних бактерій у таблиці граничних значень становлять 0,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06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– 0,5 мг/л.</w:t>
            </w:r>
          </w:p>
        </w:tc>
      </w:tr>
      <w:tr w:rsidR="00B840B1" w:rsidRPr="00130B63" w14:paraId="26D5F8D8" w14:textId="77777777" w:rsidTr="00130B63">
        <w:tc>
          <w:tcPr>
            <w:tcW w:w="2972" w:type="dxa"/>
          </w:tcPr>
          <w:p w14:paraId="44BCA42F" w14:textId="43BAD355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Кліндаміцин</w:t>
            </w:r>
            <w:proofErr w:type="spellEnd"/>
          </w:p>
        </w:tc>
        <w:tc>
          <w:tcPr>
            <w:tcW w:w="2220" w:type="dxa"/>
          </w:tcPr>
          <w:p w14:paraId="13F366EF" w14:textId="664227EC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0.5</w:t>
            </w:r>
          </w:p>
        </w:tc>
        <w:tc>
          <w:tcPr>
            <w:tcW w:w="4726" w:type="dxa"/>
          </w:tcPr>
          <w:p w14:paraId="7BC099B7" w14:textId="170ECC8F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Граничні значення для анаеробних бактерій у таблиці граничних значень становлять 0,25 мг/л.</w:t>
            </w:r>
          </w:p>
        </w:tc>
      </w:tr>
      <w:tr w:rsidR="00B840B1" w:rsidRPr="00130B63" w14:paraId="27DCBD83" w14:textId="77777777" w:rsidTr="00130B63">
        <w:tc>
          <w:tcPr>
            <w:tcW w:w="2972" w:type="dxa"/>
          </w:tcPr>
          <w:p w14:paraId="6757DAB0" w14:textId="65CFDC78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Метронідазол</w:t>
            </w:r>
            <w:proofErr w:type="spellEnd"/>
          </w:p>
        </w:tc>
        <w:tc>
          <w:tcPr>
            <w:tcW w:w="2220" w:type="dxa"/>
          </w:tcPr>
          <w:p w14:paraId="306D6E40" w14:textId="47CE7EFC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4</w:t>
            </w:r>
          </w:p>
        </w:tc>
        <w:tc>
          <w:tcPr>
            <w:tcW w:w="4726" w:type="dxa"/>
          </w:tcPr>
          <w:p w14:paraId="712B5EB2" w14:textId="4B416C8C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анаеробних бактерій у таблиці граничних значень становлять 0,5 –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4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мг/л.</w:t>
            </w:r>
          </w:p>
        </w:tc>
      </w:tr>
      <w:tr w:rsidR="00B840B1" w:rsidRPr="00130B63" w14:paraId="770A6020" w14:textId="77777777" w:rsidTr="00130B63">
        <w:tc>
          <w:tcPr>
            <w:tcW w:w="2972" w:type="dxa"/>
          </w:tcPr>
          <w:p w14:paraId="12C70A10" w14:textId="1EF37A46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Ванкоміцин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(Грам позитивні)</w:t>
            </w:r>
          </w:p>
        </w:tc>
        <w:tc>
          <w:tcPr>
            <w:tcW w:w="2220" w:type="dxa"/>
          </w:tcPr>
          <w:p w14:paraId="78D9B9DD" w14:textId="546130BE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2</w:t>
            </w:r>
          </w:p>
        </w:tc>
        <w:tc>
          <w:tcPr>
            <w:tcW w:w="4726" w:type="dxa"/>
          </w:tcPr>
          <w:p w14:paraId="53BC3A03" w14:textId="6253529D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Актуальний лише для кількох грампозитивних анаеробних бактерій. Гранична точка 2 мг/л є загальною для цільових видів</w:t>
            </w:r>
          </w:p>
        </w:tc>
      </w:tr>
      <w:tr w:rsidR="00B840B1" w:rsidRPr="00130B63" w14:paraId="20B7EB0D" w14:textId="77777777" w:rsidTr="00130B63">
        <w:tc>
          <w:tcPr>
            <w:tcW w:w="2972" w:type="dxa"/>
          </w:tcPr>
          <w:p w14:paraId="3E7FC77B" w14:textId="47992C72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Рифампіцин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(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Грам позитивні)</w:t>
            </w:r>
          </w:p>
        </w:tc>
        <w:tc>
          <w:tcPr>
            <w:tcW w:w="2220" w:type="dxa"/>
          </w:tcPr>
          <w:p w14:paraId="47148895" w14:textId="7A967FDC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0.125</w:t>
            </w:r>
          </w:p>
        </w:tc>
        <w:tc>
          <w:tcPr>
            <w:tcW w:w="4726" w:type="dxa"/>
          </w:tcPr>
          <w:p w14:paraId="79C8A03B" w14:textId="2D55D875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Граничні значення для видів, які вже є в таблицях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граничних значень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EUCAST, становлять 0,06 – 0,125 мг/л.</w:t>
            </w:r>
          </w:p>
        </w:tc>
      </w:tr>
      <w:tr w:rsidR="00B840B1" w:rsidRPr="00130B63" w14:paraId="7DB53089" w14:textId="77777777" w:rsidTr="00130B63">
        <w:tc>
          <w:tcPr>
            <w:tcW w:w="2972" w:type="dxa"/>
          </w:tcPr>
          <w:p w14:paraId="5236907A" w14:textId="734A2845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Лінезолід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(змішана інфекція)</w:t>
            </w:r>
          </w:p>
        </w:tc>
        <w:tc>
          <w:tcPr>
            <w:tcW w:w="2220" w:type="dxa"/>
          </w:tcPr>
          <w:p w14:paraId="12517CCD" w14:textId="530C9A21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В очікуванні</w:t>
            </w:r>
          </w:p>
        </w:tc>
        <w:tc>
          <w:tcPr>
            <w:tcW w:w="4726" w:type="dxa"/>
          </w:tcPr>
          <w:p w14:paraId="5B2D8E33" w14:textId="67FAF9E0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Лінезолід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використовувався для лікування змішаних інфекцій, причиною яких вважалися анаеробні бактерії, але 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рідко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для цільової терапії анаеробних інфекцій.</w:t>
            </w:r>
          </w:p>
        </w:tc>
      </w:tr>
      <w:tr w:rsidR="00B840B1" w:rsidRPr="00130B63" w14:paraId="17E65C05" w14:textId="77777777" w:rsidTr="00130B63">
        <w:tc>
          <w:tcPr>
            <w:tcW w:w="2972" w:type="dxa"/>
          </w:tcPr>
          <w:p w14:paraId="3FE4E7F7" w14:textId="7CC85B58" w:rsidR="00B840B1" w:rsidRPr="00130B63" w:rsidRDefault="00B840B1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Моксифлоксацин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</w:t>
            </w: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(змішана інфекція)</w:t>
            </w:r>
          </w:p>
        </w:tc>
        <w:tc>
          <w:tcPr>
            <w:tcW w:w="2220" w:type="dxa"/>
          </w:tcPr>
          <w:p w14:paraId="4BA3BD41" w14:textId="1223C510" w:rsidR="00B840B1" w:rsidRPr="00130B63" w:rsidRDefault="00B840B1" w:rsidP="00130B63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В очікуванні</w:t>
            </w:r>
          </w:p>
        </w:tc>
        <w:tc>
          <w:tcPr>
            <w:tcW w:w="4726" w:type="dxa"/>
          </w:tcPr>
          <w:p w14:paraId="63A04E3D" w14:textId="0F65FF4C" w:rsidR="00B840B1" w:rsidRPr="00130B63" w:rsidRDefault="00130B63" w:rsidP="00B840B1">
            <w:pPr>
              <w:jc w:val="both"/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</w:pP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Моксифлоксацин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використовувався для лікування змішаних інфекцій, причиною яких вважалися анаеробні бактерії, але </w:t>
            </w:r>
            <w:proofErr w:type="spellStart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>рідко</w:t>
            </w:r>
            <w:proofErr w:type="spellEnd"/>
            <w:r w:rsidRPr="00130B63">
              <w:rPr>
                <w:rFonts w:ascii="Arial" w:eastAsia="Arial" w:hAnsi="Arial" w:cs="Arial"/>
                <w:color w:val="auto"/>
                <w:sz w:val="18"/>
                <w:szCs w:val="18"/>
                <w:lang w:val="uk-UA" w:bidi="ar-SA"/>
              </w:rPr>
              <w:t xml:space="preserve"> для цільової терапії анаеробних інфекцій.</w:t>
            </w:r>
          </w:p>
        </w:tc>
      </w:tr>
    </w:tbl>
    <w:p w14:paraId="77567477" w14:textId="1C915089" w:rsidR="00B840B1" w:rsidRDefault="00B840B1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0DCB646D" w14:textId="4ED8561B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C6C1F9A" w14:textId="3B052FF6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10DC21D" w14:textId="17DCB2E5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08C7C54D" w14:textId="72E8C0BC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636DB1D" w14:textId="6180DA40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741A69D" w14:textId="1CA194F4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DDC05CA" w14:textId="7CD71C93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3703FE4" w14:textId="644FFDD8" w:rsidR="00130B63" w:rsidRDefault="00130B63" w:rsidP="00B840B1">
      <w:pPr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130B63" w:rsidRPr="008A3193" w14:paraId="230C75C6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28A22366" w14:textId="77777777" w:rsidR="00130B63" w:rsidRDefault="00130B63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2B72EA84" wp14:editId="729B87D7">
                  <wp:extent cx="2075291" cy="44120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6F34C882" w14:textId="77777777" w:rsidR="00130B63" w:rsidRPr="00F044CE" w:rsidRDefault="00130B63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56FD15DE" w14:textId="77777777" w:rsidR="00130B63" w:rsidRPr="00F044CE" w:rsidRDefault="00130B63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463CBC31" w14:textId="77777777" w:rsidR="00130B63" w:rsidRPr="00F044CE" w:rsidRDefault="00130B63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130B63" w:rsidRPr="008A3193" w14:paraId="49DFD81F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300EFBD5" w14:textId="77777777" w:rsidR="00130B63" w:rsidRPr="00F044CE" w:rsidRDefault="00130B63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7D1851AE" w14:textId="77777777" w:rsidR="00130B63" w:rsidRDefault="00130B63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FF6D4F9" w14:textId="77777777" w:rsidR="00130B63" w:rsidRDefault="00130B63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EE81608" w14:textId="0DDE77A4" w:rsidR="00130B63" w:rsidRDefault="00130B63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 w:rsidRPr="00130B63"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  <w:t>Блок-схема</w:t>
      </w:r>
    </w:p>
    <w:p w14:paraId="10E5552A" w14:textId="25C197F5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43460D71" w14:textId="0EEF69C0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2F15E" wp14:editId="783058CB">
                <wp:simplePos x="0" y="0"/>
                <wp:positionH relativeFrom="margin">
                  <wp:posOffset>271150</wp:posOffset>
                </wp:positionH>
                <wp:positionV relativeFrom="paragraph">
                  <wp:posOffset>4584</wp:posOffset>
                </wp:positionV>
                <wp:extent cx="6016065" cy="1006608"/>
                <wp:effectExtent l="0" t="0" r="22860" b="22225"/>
                <wp:wrapNone/>
                <wp:docPr id="8" name="Прямокутник: округлені кути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6065" cy="100660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27CF0" w14:textId="52C45BD4" w:rsidR="009C5414" w:rsidRP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Ізолят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ідентифіковано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і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можна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здійснити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пошук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у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відповідній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літературі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щоб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визначити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14:paraId="5203C72E" w14:textId="77777777" w:rsidR="009C5414" w:rsidRP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6F8BDF" w14:textId="77777777" w:rsidR="009C5414" w:rsidRP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Клінічне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значення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важливість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виду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1879616" w14:textId="77777777" w:rsidR="009C5414" w:rsidRP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b.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агенти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мають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відношення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тестування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згідно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з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наявними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клінічними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даними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зазвичай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випадки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14:paraId="1C774366" w14:textId="3A559D7D" w:rsidR="009C5414" w:rsidRP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Характеристики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росту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для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вибору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найбільш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відповідного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середовища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для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тестування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(MH, MHF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FAA).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2F15E" id="Прямокутник: округлені кути 8" o:spid="_x0000_s1026" style="position:absolute;left:0;text-align:left;margin-left:21.35pt;margin-top:.35pt;width:473.7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TEyAIAAKcFAAAOAAAAZHJzL2Uyb0RvYy54bWysVM1O3DAQvlfqO1i+lyQr2NKILFqBqCoh&#10;QEDF2es4m0iO7dreTbYnVB6gt177EFUlREufIftGHTs/u6Koh6p78M5kZr75n4PDuuRoybQppEhw&#10;tBNixASVaSHmCX5/ffJqHyNjiUgJl4IleMUMPpy8fHFQqZiNZC55yjQCEGHiSiU4t1bFQWBozkpi&#10;dqRiAoSZ1CWxwOp5kGpSAXrJg1EYjoNK6lRpSZkx8PW4FeKJx88yRu15lhlmEU8wxGb9q/07c28w&#10;OSDxXBOVF7QLg/xDFCUpBDgdoI6JJWihiz+gyoJqaWRmd6gsA5llBWU+B8gmCp9kc5UTxXwuUByj&#10;hjKZ/wdLz5YXGhVpgqFRgpTQoubr+nb9ufnZ/Goe1nfrT81jc988xMjzt+u75lvzo/nePK6/oE7h&#10;Hu27QlbKxIB3pS50xxkgXVXqTJfuH/JFtS/+aig+qy2i8HEcRuNwvIcRBVkErR2HHjXYmCtt7Fsm&#10;S+SIBGu5EOkltNhXnixPjQW/oN/rOZdG8iI9KTj3jBsrdsQ1WhIYiNk8cnGDxZZW4NJoA/eUXXHm&#10;bLm4ZBlUCkIdeYd+RjdghFImbNSKcpKy1sdeCL/eS+/e+/SADjmD6AbsDqDXbEF67DbYTt+ZMj/i&#10;g3H4t8Ba48HCe5bCDsZlIaR+DoBDVp3nVh/C3yqNI209q0HFkTOZrmCktGx3zSh6UkC7TomxF0TD&#10;csEawsGw5/BkXFYJlh2FUS71x+e+O32YeZBiVMGyJth8WBDNMOLvBGzDm2h31223Z3b3Xo+A0duS&#10;2bZELMojCe2P4DQp6kmnb3lPZlqWN3BXps4riIig4DvB1OqeObLtEYHLRNl06tVgoxWxp+JKUQfu&#10;Cuwm8bq+IVp1M2th3M9kv9gkfjK1ra6zFHK6sDIr/Ehv6tqVHq6Bn6Hucrlzs817rc19nfwGAAD/&#10;/wMAUEsDBBQABgAIAAAAIQAmzFCy3AAAAAcBAAAPAAAAZHJzL2Rvd25yZXYueG1sTI7LTsMwEEX3&#10;SPyDNUjsqN3wakKcqiAqoe5aHmsnHhKLeBxit03/nmEFm5Gu7tGdUy4n34sDjtEF0jCfKRBITbCO&#10;Wg1vr+urBYiYDFnTB0INJ4ywrM7PSlPYcKQtHnapFTxCsTAaupSGQsrYdOhNnIUBibvPMHqTOI6t&#10;tKM58rjvZabUnfTGEX/ozIBPHTZfu73X8J1O2/W1e7Yqbh7fV/XLh184r/XlxbR6AJFwSn8w/Oqz&#10;OlTsVIc92Sh6DTfZPZMa+HKb52oOombsNs9AVqX871/9AAAA//8DAFBLAQItABQABgAIAAAAIQC2&#10;gziS/gAAAOEBAAATAAAAAAAAAAAAAAAAAAAAAABbQ29udGVudF9UeXBlc10ueG1sUEsBAi0AFAAG&#10;AAgAAAAhADj9If/WAAAAlAEAAAsAAAAAAAAAAAAAAAAALwEAAF9yZWxzLy5yZWxzUEsBAi0AFAAG&#10;AAgAAAAhACGyBMTIAgAApwUAAA4AAAAAAAAAAAAAAAAALgIAAGRycy9lMm9Eb2MueG1sUEsBAi0A&#10;FAAGAAgAAAAhACbMULLcAAAABwEAAA8AAAAAAAAAAAAAAAAAIgUAAGRycy9kb3ducmV2LnhtbFBL&#10;BQYAAAAABAAEAPMAAAArBgAAAAA=&#10;" fillcolor="white [3212]" strokecolor="#1f3763 [1604]" strokeweight="1pt">
                <v:stroke joinstyle="miter"/>
                <v:textbox>
                  <w:txbxContent>
                    <w:p w14:paraId="71127CF0" w14:textId="52C45BD4" w:rsidR="009C5414" w:rsidRP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Ізолят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ідентифіковано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, і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можна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здійснити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пошук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у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відповідній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літературі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щоб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визначити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: </w:t>
                      </w:r>
                    </w:p>
                    <w:p w14:paraId="5203C72E" w14:textId="77777777" w:rsidR="009C5414" w:rsidRP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86F8BDF" w14:textId="77777777" w:rsidR="009C5414" w:rsidRP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Клінічне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значення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важливість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виду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01879616" w14:textId="77777777" w:rsidR="009C5414" w:rsidRP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b.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агенти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мають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відношення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тестування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згідно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з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наявними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клінічними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даними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зазвичай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випадки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).</w:t>
                      </w:r>
                    </w:p>
                    <w:p w14:paraId="1C774366" w14:textId="3A559D7D" w:rsidR="009C5414" w:rsidRP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Характеристики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росту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для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вибору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найбільш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відповідного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середовища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для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тестування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(MH, MHF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FAA).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F3C8E4" w14:textId="77777777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19957CCC" w14:textId="31289B3E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5F9E9B29" w14:textId="77777777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67E04E92" w14:textId="0316AF1D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7E933A6D" w14:textId="6D7BEC33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00457" wp14:editId="70855685">
                <wp:simplePos x="0" y="0"/>
                <wp:positionH relativeFrom="page">
                  <wp:posOffset>3944243</wp:posOffset>
                </wp:positionH>
                <wp:positionV relativeFrom="paragraph">
                  <wp:posOffset>80329</wp:posOffset>
                </wp:positionV>
                <wp:extent cx="284309" cy="176733"/>
                <wp:effectExtent l="0" t="22542" r="17462" b="36513"/>
                <wp:wrapNone/>
                <wp:docPr id="12" name="Стрілка: шевро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309" cy="176733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B27A09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Стрілка: шеврон 12" o:spid="_x0000_s1026" type="#_x0000_t55" style="position:absolute;margin-left:310.55pt;margin-top:6.35pt;width:22.4pt;height:13.9pt;rotation:90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AspwIAAF4FAAAOAAAAZHJzL2Uyb0RvYy54bWysVM1uEzEQviPxDpbvdJM0/Vt1U0WtipCq&#10;NqJFPbteu7uS/7CdbMKp4sQTcOcNEBIXEDzD5o0Y25ttaXtC7MGyPTPfzHz7jQ+PllKgBbOu1qrA&#10;w60BRkxRXdbqtsDvrk5f7WPkPFElEVqxAq+Yw0eTly8OG5Ozka60KJlFAKJc3pgCV96bPMscrZgk&#10;bksbpsDItZXEw9HeZqUlDaBLkY0Gg92s0bY0VlPmHNyeJCOeRHzOGfUXnDvmkSgw1ObjauN6E9Zs&#10;ckjyW0tMVdOuDPIPVUhSK0jaQ50QT9Dc1k+gZE2tdpr7LaplpjmvKYs9QDfDwaNuLitiWOwFyHGm&#10;p8n9P1h6vphZVJfw70YYKSLhH7Vf1h/Xd+vP7c/2R/s1R+tP7ff22/qu/d3+QuAGnDXG5RB6aWa2&#10;OznYBgKW3EpkNRC9Mx6EL9ICjaJlZH3Vs86WHlG4HO2PtwcHGFEwDfd297a3Q4YsQQVIY51/zbRE&#10;YVNgkMbC6kQ3WZw5n7w3XhAaqkv1xJ1fCRZwhHrLOPQacsaqosrYsbBoQUAfhFKm/DCZKlKydL0T&#10;u0hJ+ohYYAQMyLwWosfuAIKCn2InmM4/hLIo0j440dWn+buwFNxHxMxa+T5Y1krb5zoT0FWXOflv&#10;SErUBJZudLkCJcQ/B4PiDD2tge4z4vyMWJgJuIQ59xewcKGbAutuh1Gl7Yfn7oM/SBWsGDUwYwV2&#10;7+fEMozEGwUiPhiOx2Eo42G8szeCg31ouXloUXN5rOE3DWN1cRv8vdhsudXyGp6DacgKJqIo5AbB&#10;eLs5HPs0+/CgUDadRjcYREP8mbo0NIAHVoOWrpbXxJpOcx7Eeq4380jyR7pLviFS6enca15HUd7z&#10;2vENQxyF0z044ZV4eI5e98/i5A8AAAD//wMAUEsDBBQABgAIAAAAIQBfmX743AAAAAgBAAAPAAAA&#10;ZHJzL2Rvd25yZXYueG1sTI/NTsMwEITvSLyDtUjcqE0ooQlxKoTEtUDh0N628ZJE9U9ku2ny9pgT&#10;PY5mNPNNtZ6MZiP50Dsr4X4hgJFtnOptK+H76+1uBSxEtAq1syRhpgDr+vqqwlK5s/2kcRtblkps&#10;KFFCF+NQch6ajgyGhRvIJu/HeYMxSd9y5fGcyo3mmRA5N9jbtNDhQK8dNcftyUjQ4+Z9vyoQ+4eZ&#10;dvOmFR/oj1Le3kwvz8AiTfE/DH/4CR3qxHRwJ6sC0xLyrMhTVMIyA5b8/PFpCeyQdCGA1xW/PFD/&#10;AgAA//8DAFBLAQItABQABgAIAAAAIQC2gziS/gAAAOEBAAATAAAAAAAAAAAAAAAAAAAAAABbQ29u&#10;dGVudF9UeXBlc10ueG1sUEsBAi0AFAAGAAgAAAAhADj9If/WAAAAlAEAAAsAAAAAAAAAAAAAAAAA&#10;LwEAAF9yZWxzLy5yZWxzUEsBAi0AFAAGAAgAAAAhAMwjQCynAgAAXgUAAA4AAAAAAAAAAAAAAAAA&#10;LgIAAGRycy9lMm9Eb2MueG1sUEsBAi0AFAAGAAgAAAAhAF+ZfvjcAAAACAEAAA8AAAAAAAAAAAAA&#10;AAAAAQUAAGRycy9kb3ducmV2LnhtbFBLBQYAAAAABAAEAPMAAAAKBgAAAAA=&#10;" adj="14886" fillcolor="#4472c4 [3204]" strokecolor="#1f3763 [1604]" strokeweight="1pt">
                <w10:wrap anchorx="page"/>
              </v:shape>
            </w:pict>
          </mc:Fallback>
        </mc:AlternateContent>
      </w:r>
    </w:p>
    <w:p w14:paraId="26FBEABE" w14:textId="69AFCFE8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77F26" wp14:editId="35811A3B">
                <wp:simplePos x="0" y="0"/>
                <wp:positionH relativeFrom="margin">
                  <wp:posOffset>301886</wp:posOffset>
                </wp:positionH>
                <wp:positionV relativeFrom="paragraph">
                  <wp:posOffset>160890</wp:posOffset>
                </wp:positionV>
                <wp:extent cx="5977901" cy="899031"/>
                <wp:effectExtent l="0" t="0" r="22860" b="15875"/>
                <wp:wrapNone/>
                <wp:docPr id="9" name="Прямокутник: округлені кути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7901" cy="89903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8CA7F5" w14:textId="043666CA" w:rsidR="009C5414" w:rsidRP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Визначте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MIC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найбільш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прийнятним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методом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11F554" w14:textId="77777777" w:rsid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EA828EA" w14:textId="77777777" w:rsid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MIC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неможливо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визначити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додайте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інформацію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щоб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пояснити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чому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рекомендація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може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бути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видана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6B8712BF" w14:textId="5B1423A4" w:rsidR="009C5414" w:rsidRP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•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MIC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можна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визначити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виконайте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наведені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нижче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дії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777F26" id="Прямокутник: округлені кути 9" o:spid="_x0000_s1027" style="position:absolute;left:0;text-align:left;margin-left:23.75pt;margin-top:12.65pt;width:470.7pt;height:70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mPByQIAAK0FAAAOAAAAZHJzL2Uyb0RvYy54bWysVM1O3DAQvlfqO1i+l2S3UEhEFq1AVJUQ&#10;IKDi7HWcTSTHdm3vJtsTKg/Ardc+RFUJ0dJnyL5Rx042u6Woh6p78Ho8M9/85JvZP6hLjuZMm0KK&#10;BA+2QoyYoDItxDTB76+OX+1hZCwRKeFSsAQvmMEHo5cv9isVs6HMJU+ZRgAiTFypBOfWqjgIDM1Z&#10;ScyWVEyAMpO6JBZEPQ1STSpAL3kwDMM3QSV1qrSkzBh4PWqVeOTxs4xRe5ZlhlnEEwy5WX9qf07c&#10;GYz2STzVROUF7dIg/5BFSQoBQXuoI2IJmuniD6iyoFoamdktKstAZllBma8BqhmET6q5zIlivhZo&#10;jlF9m8z/g6Wn83ONijTBEUaClPCJmi/Lm+Vd86P52Twsb5efmsfmvnmIkZdvlrfN1+Z78615XH5G&#10;ncE9ilwjK2ViwLtU57qTDFxdV+pMl+4f6kW1b/6ibz6rLaLwuBPt7kbhACMKur0oCl8PHGiw9lba&#10;2LdMlshdEqzlTKQX8IV948n8xNjWfmXnIhrJi/S44NwLjlXskGs0J8CHyXQVYcMqcFW0efubXXDm&#10;fLm4YBk0CjId+oCeomswQikTdtCqcpKyNsZOCL+ujt7DV+UBHXIG2fXYHcDvia6w2/I6e+fKPMN7&#10;5/BvibXOvYePLIXtnctCSP0cAIequsitPaS/0Rp3tfWk9iTylu5lItMFEEvLduKMoscFfLUTYuw5&#10;0TBiMIywNuwZHBmXVYJld8Mol/rjc+/OHpgPWowqGNkEmw8zohlG/J2AmYgG29tuxr2wvbM7BEFv&#10;aiabGjErDyWwABgH2fmrs7d8dc20LK9hu4xdVFARQSF2gqnVK+HQtqsE9hNl47E3g7lWxJ6IS0Ud&#10;uOuzI+RVfU206qhrgfSncjXeJH5C3tbWeQo5nlmZFZ7Z6752XwB2gqdSt7/c0tmUvdV6y45+AQAA&#10;//8DAFBLAwQUAAYACAAAACEAJLZIZN8AAAAJAQAADwAAAGRycy9kb3ducmV2LnhtbEyPy07DMBBF&#10;90j8gzVI7KhDS0MS4lQFUQl11/JYO/GQWMTjELtt+vcMK1iO7tG9Z8rV5HpxxDFYTwpuZwkIpMYb&#10;S62Ct9fNTQYiRE1G955QwRkDrKrLi1IXxp9oh8d9bAWXUCi0gi7GoZAyNB06HWZ+QOLs049ORz7H&#10;VppRn7jc9XKeJKl02hIvdHrApw6br/3BKfiO591mYZ9NEraP7+v65cNl1il1fTWtH0BEnOIfDL/6&#10;rA4VO9X+QCaIXsHd/ZJJBfPlAgTneZblIGoG0zQHWZXy/wfVDwAAAP//AwBQSwECLQAUAAYACAAA&#10;ACEAtoM4kv4AAADhAQAAEwAAAAAAAAAAAAAAAAAAAAAAW0NvbnRlbnRfVHlwZXNdLnhtbFBLAQIt&#10;ABQABgAIAAAAIQA4/SH/1gAAAJQBAAALAAAAAAAAAAAAAAAAAC8BAABfcmVscy8ucmVsc1BLAQIt&#10;ABQABgAIAAAAIQAvemPByQIAAK0FAAAOAAAAAAAAAAAAAAAAAC4CAABkcnMvZTJvRG9jLnhtbFBL&#10;AQItABQABgAIAAAAIQAktkhk3wAAAAkBAAAPAAAAAAAAAAAAAAAAACMFAABkcnMvZG93bnJldi54&#10;bWxQSwUGAAAAAAQABADzAAAALwYAAAAA&#10;" fillcolor="white [3212]" strokecolor="#1f3763 [1604]" strokeweight="1pt">
                <v:stroke joinstyle="miter"/>
                <v:textbox>
                  <w:txbxContent>
                    <w:p w14:paraId="1C8CA7F5" w14:textId="043666CA" w:rsidR="009C5414" w:rsidRP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Визначте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MIC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найбільш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прийнятним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методом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</w:p>
                    <w:p w14:paraId="3611F554" w14:textId="77777777" w:rsid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EA828EA" w14:textId="77777777" w:rsid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•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MIC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неможливо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визначити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додайте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інформацію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щоб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пояснити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чому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рекомендація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може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бути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видана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6B8712BF" w14:textId="5B1423A4" w:rsidR="009C5414" w:rsidRP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•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MIC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можна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визначити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виконайте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наведені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нижче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дії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81F89D" w14:textId="229FDB61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46F4449E" w14:textId="77777777" w:rsidR="00E9251C" w:rsidRDefault="00E9251C" w:rsidP="00130B63">
      <w:pPr>
        <w:jc w:val="center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196483BB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7EE0792" w14:textId="0BD8D839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F67B887" w14:textId="280F55B6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18C761E" w14:textId="239FB7AB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5622E" wp14:editId="2DA3D000">
                <wp:simplePos x="0" y="0"/>
                <wp:positionH relativeFrom="margin">
                  <wp:posOffset>3222942</wp:posOffset>
                </wp:positionH>
                <wp:positionV relativeFrom="paragraph">
                  <wp:posOffset>87623</wp:posOffset>
                </wp:positionV>
                <wp:extent cx="284309" cy="176733"/>
                <wp:effectExtent l="0" t="22542" r="17462" b="36513"/>
                <wp:wrapNone/>
                <wp:docPr id="13" name="Стрілка: шеврон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309" cy="176733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900EE" id="Стрілка: шеврон 13" o:spid="_x0000_s1026" type="#_x0000_t55" style="position:absolute;margin-left:253.75pt;margin-top:6.9pt;width:22.4pt;height:13.9pt;rotation:9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6vSpwIAAF4FAAAOAAAAZHJzL2Uyb0RvYy54bWysVM1uEzEQviPxDpbvdJM0/Vt1U0WtipCq&#10;NqJFPbteu7uS/7CdbMKp4sQTcOcNEBIXEDzD5o0Y25ttaXtC7MGyPTPfzHz7jQ+PllKgBbOu1qrA&#10;w60BRkxRXdbqtsDvrk5f7WPkPFElEVqxAq+Yw0eTly8OG5Ozka60KJlFAKJc3pgCV96bPMscrZgk&#10;bksbpsDItZXEw9HeZqUlDaBLkY0Gg92s0bY0VlPmHNyeJCOeRHzOGfUXnDvmkSgw1ObjauN6E9Zs&#10;ckjyW0tMVdOuDPIPVUhSK0jaQ50QT9Dc1k+gZE2tdpr7LaplpjmvKYs9QDfDwaNuLitiWOwFyHGm&#10;p8n9P1h6vphZVJfw77YxUkTCP2q/rD+u79af25/tj/Zrjtaf2u/tt/Vd+7v9hcANOGuMyyH00sxs&#10;d3KwDQQsuZXIaiB6ZzwIX6QFGkXLyPqqZ50tPaJwOdofbw8OMKJgGu7t7m3HDFmCCpDGOv+aaYnC&#10;psAgjYXViW6yOHMeKgDvjRccQnWpnrjzK8ECjlBvGYdeQ85YVVQZOxYWLQjog1DKlB8mU0VKlq53&#10;YhcpSR8RU0bAgMxrIXrsDiAo+Cl2gun8QyiLIu2DE119mr8LS8F9RMysle+DZa20fa4zAV11mZP/&#10;hqRETWDpRpcrUEL8czAoztDTGug+I87PiIWZgEuYc38BCxe6KbDudhhV2n547j74g1TBilEDM1Zg&#10;935OLMNIvFEg4oPheByGMh7GO3sjONiHlpuHFjWXxxp+0zBWF7fB34vNllstr+E5mIasYCKKQm4Q&#10;jLebw7FPsw8PCmXTaXSDQTTEn6lLQwN4YDVo6Wp5TazpNOdBrOd6M48kf6S75BsilZ7OveZ1FOU9&#10;rx3fMMRRON2DE16Jh+fodf8sTv4AAAD//wMAUEsDBBQABgAIAAAAIQBkj6h13AAAAAgBAAAPAAAA&#10;ZHJzL2Rvd25yZXYueG1sTI/BTsMwEETvSPyDtUjcqB1CqzbEqRAS1wKFA71t4yWJGtuR7abJ37Oc&#10;4DarGc3OK7eT7cVIIXbeacgWCgS52pvONRo+P17u1iBiQmew9440zBRhW11flVgYf3HvNO5TI7jE&#10;xQI1tCkNhZSxbsliXPiBHHvfPlhMfIZGmoAXLre9vFdqJS12jj+0ONBzS/Vpf7Ya+nH3elhvELt8&#10;pq9516g3DCetb2+mp0cQiab0F4bf+TwdKt509Gdnoug1LLMVsyQWOQj2lw85oxxZqAxkVcr/ANUP&#10;AAAA//8DAFBLAQItABQABgAIAAAAIQC2gziS/gAAAOEBAAATAAAAAAAAAAAAAAAAAAAAAABbQ29u&#10;dGVudF9UeXBlc10ueG1sUEsBAi0AFAAGAAgAAAAhADj9If/WAAAAlAEAAAsAAAAAAAAAAAAAAAAA&#10;LwEAAF9yZWxzLy5yZWxzUEsBAi0AFAAGAAgAAAAhAKo3q9KnAgAAXgUAAA4AAAAAAAAAAAAAAAAA&#10;LgIAAGRycy9lMm9Eb2MueG1sUEsBAi0AFAAGAAgAAAAhAGSPqHXcAAAACAEAAA8AAAAAAAAAAAAA&#10;AAAAAQUAAGRycy9kb3ducmV2LnhtbFBLBQYAAAAABAAEAPMAAAAKBgAAAAA=&#10;" adj="14886" fillcolor="#4472c4 [3204]" strokecolor="#1f3763 [1604]" strokeweight="1pt">
                <w10:wrap anchorx="margin"/>
              </v:shape>
            </w:pict>
          </mc:Fallback>
        </mc:AlternateContent>
      </w:r>
    </w:p>
    <w:p w14:paraId="6B455BDE" w14:textId="6A10DA9D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6E0BB9C" w14:textId="59286266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10AA4" wp14:editId="29FDF0D4">
                <wp:simplePos x="0" y="0"/>
                <wp:positionH relativeFrom="margin">
                  <wp:posOffset>263466</wp:posOffset>
                </wp:positionH>
                <wp:positionV relativeFrom="paragraph">
                  <wp:posOffset>77411</wp:posOffset>
                </wp:positionV>
                <wp:extent cx="6023941" cy="1329055"/>
                <wp:effectExtent l="0" t="0" r="15240" b="23495"/>
                <wp:wrapNone/>
                <wp:docPr id="10" name="Прямокутник: округлені кути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3941" cy="13290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5C71E" w14:textId="4D223D56" w:rsid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Порівняйте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МІК з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відомими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розподілами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МІК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http://mic.eucast.org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в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літературі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597E0B0" w14:textId="77777777" w:rsid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CF44AB8" w14:textId="77777777" w:rsid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МІК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вище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ECOFF (і,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таким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чином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вище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ніж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МІК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розподілу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дикого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типу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клінічне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застосування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препарату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має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бути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припинено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збентежений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ізолят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має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механізми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опору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Додайте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коментар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запропоновано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повідомте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«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стійкий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». </w:t>
                            </w:r>
                          </w:p>
                          <w:p w14:paraId="134454F3" w14:textId="6BCA2485" w:rsid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MIC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нижче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рівні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ECOFF*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розподіли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MIC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недоступні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виконайте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наведені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нижче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дії</w:t>
                            </w:r>
                            <w:proofErr w:type="spellEnd"/>
                          </w:p>
                          <w:p w14:paraId="44E7F1BC" w14:textId="4BCC6CAB" w:rsid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C71BDD3" w14:textId="695E962B" w:rsidR="009C5414" w:rsidRDefault="009C5414" w:rsidP="009C5414"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*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Ізоляти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належать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дикого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типу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можуть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автоматично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вважатися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придатними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для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терапії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D10AA4" id="Прямокутник: округлені кути 10" o:spid="_x0000_s1028" style="position:absolute;left:0;text-align:left;margin-left:20.75pt;margin-top:6.1pt;width:474.35pt;height:104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kOzQIAALAFAAAOAAAAZHJzL2Uyb0RvYy54bWysVM1uEzEQviPxDpbvdH+aFLrqpopaFSFV&#10;bdUW9ex4vdmVvLaxnWTDqaIPwI0rD4GQqkJ5hs0bMfbuJlGpOCBycDw7M9/8+Js5OKwrjuZMm1KK&#10;FEc7IUZMUJmVYpri99cnr95gZCwRGeFSsBQvmcGHo5cvDhYqYbEsJM+YRgAiTLJQKS6sVUkQGFqw&#10;ipgdqZgAZS51RSyIehpkmiwAveJBHIZ7wULqTGlJmTHw9bhV4pHHz3NG7XmeG2YRTzHkZv2p/Tlx&#10;ZzA6IMlUE1WUtEuD/EMWFSkFBF1DHRNL0EyXf0BVJdXSyNzuUFkFMs9LynwNUE0UPqnmqiCK+Vqg&#10;OUat22T+Hyw9m19oVGbwdtAeQSp4o+br6nb1ufnZ/GoeVnerT81jc988JMjLt6u75lvzo/nePK6+&#10;oM7gHoE3tHKhTAKIV+pCd5KBq+tLnevK/UPFqPbtX67bz2qLKHzcC+Pd/UGEEQVdtBvvh8OhQw02&#10;7kob+5bJCrlLirWciewSHtn3nsxPjW3tezsX0kheZicl515wxGJHXKM5AUpMplEXYcsqcGW0ifub&#10;XXLmfLm4ZDn0ClKNfUDP0g0YoZQJG7WqgmSsjTEM4ddH6cP7qjygQ84huzV2B9BbtiA9dlteZ+9c&#10;mSf52jn8W2Kt89rDR5bCrp2rUkj9HACHqrrIrT2kv9Uad7X1pPY8ip2l+zKR2RK4pWU7dEbRkxJe&#10;7ZQYe0E0TBkQDjaHPYcj53KRYtndMCqk/vjcd2cP5ActRguY2hSbDzOiGUb8nYCx2I8GAzfmXhgM&#10;X8cg6G3NZFsjZtWRBBYA5SA7f3X2lvfXXMvqBhbM2EUFFREUYqeYWt0LR7bdJrCiKBuPvRmMtiL2&#10;VFwp6sBdnx0hr+sbolVHXQusP5P9hJPkCXlbW+cp5HhmZV56Zm/62r0ArAVPpW6Fub2zLXurzaId&#10;/QYAAP//AwBQSwMEFAAGAAgAAAAhAK3Jfk3dAAAACQEAAA8AAABkcnMvZG93bnJldi54bWxMj0tP&#10;wzAQhO9I/AdrkbhRu+ahNsSpCqIS4tbyODvxkljE6xC7bfrvWU5w290ZzX5TrqbQiwOOyUcyMJ8p&#10;EEhNdJ5aA2+vm6sFiJQtOdtHQgMnTLCqzs9KW7h4pC0edrkVHEKpsAa6nIdCytR0GGyaxQGJtc84&#10;Bpt5HVvpRnvk8NBLrdSdDNYTf+jsgI8dNl+7fTDwnU/bzbV/ciq9PLyv6+ePsPDBmMuLaX0PIuOU&#10;/8zwi8/oUDFTHffkkugN3Mxv2cl3rUGwvlwqHmoDWrMiq1L+b1D9AAAA//8DAFBLAQItABQABgAI&#10;AAAAIQC2gziS/gAAAOEBAAATAAAAAAAAAAAAAAAAAAAAAABbQ29udGVudF9UeXBlc10ueG1sUEsB&#10;Ai0AFAAGAAgAAAAhADj9If/WAAAAlAEAAAsAAAAAAAAAAAAAAAAALwEAAF9yZWxzLy5yZWxzUEsB&#10;Ai0AFAAGAAgAAAAhAKlVyQ7NAgAAsAUAAA4AAAAAAAAAAAAAAAAALgIAAGRycy9lMm9Eb2MueG1s&#10;UEsBAi0AFAAGAAgAAAAhAK3Jfk3dAAAACQEAAA8AAAAAAAAAAAAAAAAAJwUAAGRycy9kb3ducmV2&#10;LnhtbFBLBQYAAAAABAAEAPMAAAAxBgAAAAA=&#10;" fillcolor="white [3212]" strokecolor="#1f3763 [1604]" strokeweight="1pt">
                <v:stroke joinstyle="miter"/>
                <v:textbox>
                  <w:txbxContent>
                    <w:p w14:paraId="36D5C71E" w14:textId="4D223D56" w:rsid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Порівняйте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МІК з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відомими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розподілами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МІК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http://mic.eucast.org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в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літературі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597E0B0" w14:textId="77777777" w:rsid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CF44AB8" w14:textId="77777777" w:rsid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•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МІК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вище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ECOFF (і,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таким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чином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вище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ніж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МІК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розподілу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дикого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типу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клінічне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застосування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препарату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має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бути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припинено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збентежений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ізолят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має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механізми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опору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Додайте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коментар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запропоновано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повідомте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«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стійкий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». </w:t>
                      </w:r>
                    </w:p>
                    <w:p w14:paraId="134454F3" w14:textId="6BCA2485" w:rsid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•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MIC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нижче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рівні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ECOFF*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розподіли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MIC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недоступні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виконайте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наведені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нижче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дії</w:t>
                      </w:r>
                      <w:proofErr w:type="spellEnd"/>
                    </w:p>
                    <w:p w14:paraId="44E7F1BC" w14:textId="4BCC6CAB" w:rsid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C71BDD3" w14:textId="695E962B" w:rsidR="009C5414" w:rsidRDefault="009C5414" w:rsidP="009C5414"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*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Ізоляти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належать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дикого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типу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можуть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автоматично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вважатися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придатними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для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терапії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238D55" w14:textId="174BB514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50D9CE5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417B7F3" w14:textId="58E9E371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BC62AB8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1BB652E5" w14:textId="32EE2AB3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00E22388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6543738" w14:textId="6B6F905D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19DB8DAB" w14:textId="015D805F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3FF959F6" w14:textId="44681C3B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154BA49E" w14:textId="320229E3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E33460" wp14:editId="0338CC96">
                <wp:simplePos x="0" y="0"/>
                <wp:positionH relativeFrom="column">
                  <wp:posOffset>3226640</wp:posOffset>
                </wp:positionH>
                <wp:positionV relativeFrom="paragraph">
                  <wp:posOffset>43653</wp:posOffset>
                </wp:positionV>
                <wp:extent cx="284309" cy="176733"/>
                <wp:effectExtent l="0" t="22542" r="17462" b="36513"/>
                <wp:wrapNone/>
                <wp:docPr id="14" name="Стрілка: шевро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309" cy="176733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8F024" id="Стрілка: шеврон 14" o:spid="_x0000_s1026" type="#_x0000_t55" style="position:absolute;margin-left:254.05pt;margin-top:3.45pt;width:22.4pt;height:13.9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lHpwIAAF4FAAAOAAAAZHJzL2Uyb0RvYy54bWysVM1uEzEQviPxDpbvdJM0/Vt1U0WtipCq&#10;NqJFPbteu7uS/7CdbMKp4sQTcOcNEBIXEDzD5o0Y25ttaXtC7MGyPTPfzHz7jQ+PllKgBbOu1qrA&#10;w60BRkxRXdbqtsDvrk5f7WPkPFElEVqxAq+Yw0eTly8OG5Ozka60KJlFAKJc3pgCV96bPMscrZgk&#10;bksbpsDItZXEw9HeZqUlDaBLkY0Gg92s0bY0VlPmHNyeJCOeRHzOGfUXnDvmkSgw1ObjauN6E9Zs&#10;ckjyW0tMVdOuDPIPVUhSK0jaQ50QT9Dc1k+gZE2tdpr7LaplpjmvKYs9QDfDwaNuLitiWOwFyHGm&#10;p8n9P1h6vphZVJfw78YYKSLhH7Vf1h/Xd+vP7c/2R/s1R+tP7ff22/qu/d3+QuAGnDXG5RB6aWa2&#10;OznYBgKW3EpkNRC9Mx6EL9ICjaJlZH3Vs86WHlG4HO2PtwcHGFEwDfd297a3Q4YsQQVIY51/zbRE&#10;YVNgkMbC6kQ3WZw5n7w3XhAaqkv1xJ1fCRZwhHrLOPQacsaqosrYsbBoQUAfhFKm/DCZKlKydL0T&#10;u0hJ+ohYYAQMyLwWosfuAIKCn2InmM4/hLIo0j440dWn+buwFNxHxMxa+T5Y1krb5zoT0FWXOflv&#10;SErUBJZudLkCJcQ/B4PiDD2tge4z4vyMWJgJuIQ59xewcKGbAutuh1Gl7Yfn7oM/SBWsGDUwYwV2&#10;7+fEMozEGwUiPhiOx2Eo42G8szeCg31ouXloUXN5rOE3DWN1cRv8vdhsudXyGp6DacgKJqIo5AbB&#10;eLs5HPs0+/CgUDadRjcYREP8mbo0NIAHVoOWrpbXxJpOcx7Eeq4380jyR7pLviFS6enca15HUd7z&#10;2vENQxyF0z044ZV4eI5e98/i5A8AAAD//wMAUEsDBBQABgAIAAAAIQCqirkY3gAAAAkBAAAPAAAA&#10;ZHJzL2Rvd25yZXYueG1sTI9NT4NAEIbvJv6HzZh4axdaSiqyNMbEa9XqQW9TdgTS/SDslsK/dzzZ&#10;02QyT9553nI3WSNGGkLnnYJ0mYAgV3vduUbB58fLYgsiRHQajXekYKYAu+r2psRC+4t7p/EQG8Eh&#10;LhSooI2xL6QMdUsWw9L35Pj24weLkdehkXrAC4dbI1dJkkuLneMPLfb03FJ9OpytAjPuX7+3D4jd&#10;eqaved8kbziclLq/m54eQUSa4j8Mf/qsDhU7Hf3Z6SCMgk2a54wqWKQ8GdhkWQbiqCBbr0BWpbxu&#10;UP0CAAD//wMAUEsBAi0AFAAGAAgAAAAhALaDOJL+AAAA4QEAABMAAAAAAAAAAAAAAAAAAAAAAFtD&#10;b250ZW50X1R5cGVzXS54bWxQSwECLQAUAAYACAAAACEAOP0h/9YAAACUAQAACwAAAAAAAAAAAAAA&#10;AAAvAQAAX3JlbHMvLnJlbHNQSwECLQAUAAYACAAAACEAW1CpR6cCAABeBQAADgAAAAAAAAAAAAAA&#10;AAAuAgAAZHJzL2Uyb0RvYy54bWxQSwECLQAUAAYACAAAACEAqoq5GN4AAAAJAQAADwAAAAAAAAAA&#10;AAAAAAABBQAAZHJzL2Rvd25yZXYueG1sUEsFBgAAAAAEAAQA8wAAAAwGAAAAAA==&#10;" adj="14886" fillcolor="#4472c4 [3204]" strokecolor="#1f3763 [1604]" strokeweight="1pt"/>
            </w:pict>
          </mc:Fallback>
        </mc:AlternateContent>
      </w:r>
    </w:p>
    <w:p w14:paraId="4E3917B7" w14:textId="2C0CDBFB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B09AE30" w14:textId="690FCDF3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>
        <w:rPr>
          <w:rFonts w:ascii="Arial" w:eastAsia="Arial" w:hAnsi="Arial" w:cs="Arial"/>
          <w:b/>
          <w:bCs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59E50" wp14:editId="6F8F373A">
                <wp:simplePos x="0" y="0"/>
                <wp:positionH relativeFrom="margin">
                  <wp:align>right</wp:align>
                </wp:positionH>
                <wp:positionV relativeFrom="paragraph">
                  <wp:posOffset>8250</wp:posOffset>
                </wp:positionV>
                <wp:extent cx="6047308" cy="1036955"/>
                <wp:effectExtent l="0" t="0" r="10795" b="10795"/>
                <wp:wrapNone/>
                <wp:docPr id="11" name="Прямокутник: округлені кути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308" cy="10369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E7B9F" w14:textId="10A80D1C" w:rsid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Порівняйте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МІК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зі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значеннями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у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відповідній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таблиці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в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цьому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документі</w:t>
                            </w:r>
                            <w:proofErr w:type="spellEnd"/>
                          </w:p>
                          <w:p w14:paraId="1A0BAE16" w14:textId="77777777" w:rsidR="009C5414" w:rsidRPr="009C5414" w:rsidRDefault="009C5414" w:rsidP="009C54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FA9888A" w14:textId="373E9C91" w:rsidR="009C5414" w:rsidRPr="009C5414" w:rsidRDefault="009C5414" w:rsidP="009C541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МІК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нижче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або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дорівнює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значенню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в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таблиці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можна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розглядати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можливість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клінічного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використання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Однак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повідомляйте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вразливі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натомість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додайте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коментар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запропоновано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•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Якщо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вище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значення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в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таблиці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додайте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коментар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щоб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не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рекомендувати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терапію</w:t>
                            </w:r>
                            <w:proofErr w:type="spellEnd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5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препаратом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59E50" id="Прямокутник: округлені кути 11" o:spid="_x0000_s1029" style="position:absolute;left:0;text-align:left;margin-left:424.95pt;margin-top:.65pt;width:476.15pt;height:81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pvtzgIAALAFAAAOAAAAZHJzL2Uyb0RvYy54bWysVEtu2zAQ3RfoHQjuG8mOnTRC5MBIkKJA&#10;kBhJiqxpirIEUCRL0pbcVdAcoLtue4iiQJA2PYN8ow4pWXbToIuiXtAczcybD9/M4VFVcLRg2uRS&#10;xLi3E2LEBJVJLmYxfnd9+uo1RsYSkRAuBYvxkhl8NHr54rBUEevLTPKEaQQgwkSlinFmrYqCwNCM&#10;FcTsSMUEKFOpC2JB1LMg0aQE9IIH/TDcC0qpE6UlZcbA15NGiUceP00ZtRdpaphFPMaQm/Wn9ufU&#10;ncHokEQzTVSW0zYN8g9ZFCQXELSDOiGWoLnO/4AqcqqlkandobIIZJrmlPkaoJpe+KSaq4wo5muB&#10;5hjVtcn8P1h6vpholCfwdj2MBCngjeovq9vVp/pH/bN+WN2tPtaP9X39ECEv367u6q/19/pb/bj6&#10;jFqDewTe0MpSmQgQr9REt5KBq+tLlerC/UPFqPLtX3btZ5VFFD7uhYP93RAIQ0HXC3f3DoZDhxps&#10;3JU29g2TBXKXGGs5F8klPLLvPVmcGdvYr+1cSCN5npzmnHvBEYsdc40WBCgxnfm8IcKWVeDKaBL3&#10;N7vkzPlycclS6BWk2vcBPUs3YIRSJmyvUWUkYU2MYQi/to7Ow1flAR1yCtl12C3A74musZvyWnvn&#10;yjzJO+fwb4k1zp2HjyyF7ZyLXEj9HACHqtrIjT2kv9Uad7XVtPI82nWW7stUJkvglpbN0BlFT3N4&#10;tTNi7IRomDKYR9gc9gKOlMsyxrK9YZRJ/eG5784eyA9ajEqY2hib93OiGUb8rYCxOOgNBm7MvTAY&#10;7vdB0Nua6bZGzItjCSwA5kN2/ursLV9fUy2LG1gwYxcVVERQiB1javVaOLbNNoEVRdl47M1gtBWx&#10;Z+JKUQfu+uwIeV3dEK1a6lpg/blcTziJnpC3sXWeQo7nVqa5Z/amr+0LwFrwVGpXmNs727K32iza&#10;0S8AAAD//wMAUEsDBBQABgAIAAAAIQCS8flL2wAAAAYBAAAPAAAAZHJzL2Rvd25yZXYueG1sTI9P&#10;T8MwDMXvSHyHyEjcWMoG1ShNp4GYhLht/DmnjWkjGqc03tZ9e8wJbn5+1vPvlasp9OqAY/KRDFzP&#10;MlBITXSeWgNvr5urJajElpztI6GBEyZYVednpS1cPNIWDztulYRQKqyBjnkotE5Nh8GmWRyQxPuM&#10;Y7Ascmy1G+1RwkOv51mW62A9yYfODvjYYfO12wcD33zabhb+yWXp5eF9XT9/hKUPxlxeTOt7UIwT&#10;/x3DL76gQyVMddyTS6o3IEVYtgtQYt7dzmWoRec3Oeiq1P/xqx8AAAD//wMAUEsBAi0AFAAGAAgA&#10;AAAhALaDOJL+AAAA4QEAABMAAAAAAAAAAAAAAAAAAAAAAFtDb250ZW50X1R5cGVzXS54bWxQSwEC&#10;LQAUAAYACAAAACEAOP0h/9YAAACUAQAACwAAAAAAAAAAAAAAAAAvAQAAX3JlbHMvLnJlbHNQSwEC&#10;LQAUAAYACAAAACEAHuqb7c4CAACwBQAADgAAAAAAAAAAAAAAAAAuAgAAZHJzL2Uyb0RvYy54bWxQ&#10;SwECLQAUAAYACAAAACEAkvH5S9sAAAAGAQAADwAAAAAAAAAAAAAAAAAoBQAAZHJzL2Rvd25yZXYu&#10;eG1sUEsFBgAAAAAEAAQA8wAAADAGAAAAAA==&#10;" fillcolor="white [3212]" strokecolor="#1f3763 [1604]" strokeweight="1pt">
                <v:stroke joinstyle="miter"/>
                <v:textbox>
                  <w:txbxContent>
                    <w:p w14:paraId="0F8E7B9F" w14:textId="10A80D1C" w:rsid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Порівняйте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МІК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зі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значеннями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у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відповідній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таблиці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в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цьому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документі</w:t>
                      </w:r>
                      <w:proofErr w:type="spellEnd"/>
                    </w:p>
                    <w:p w14:paraId="1A0BAE16" w14:textId="77777777" w:rsidR="009C5414" w:rsidRPr="009C5414" w:rsidRDefault="009C5414" w:rsidP="009C54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FA9888A" w14:textId="373E9C91" w:rsidR="009C5414" w:rsidRPr="009C5414" w:rsidRDefault="009C5414" w:rsidP="009C541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•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МІК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нижче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або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дорівнює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значенню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в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таблиці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можна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розглядати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можливість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клінічного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використання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Однак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повідомляйте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вразливі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натомість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додайте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коментар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запропоновано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. •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Якщо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</w:t>
                      </w:r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вище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значення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в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таблиці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додайте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коментар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щоб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не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рекомендувати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терапію</w:t>
                      </w:r>
                      <w:proofErr w:type="spellEnd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5414">
                        <w:rPr>
                          <w:rFonts w:ascii="Arial" w:hAnsi="Arial" w:cs="Arial"/>
                          <w:sz w:val="18"/>
                          <w:szCs w:val="18"/>
                        </w:rPr>
                        <w:t>препаратом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D4A8FE1" w14:textId="5C49FC46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FC53E0B" w14:textId="363EAEBA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7C3C1DC" w14:textId="172CC6E6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5BAFF3C4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710B6B2E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69BEFF2F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3366208C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19D609F0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3D31B6DB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4C2797F7" w14:textId="77777777" w:rsidR="00E9251C" w:rsidRDefault="00E9251C" w:rsidP="00130B63">
      <w:pPr>
        <w:jc w:val="center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p w14:paraId="2AA08BCC" w14:textId="5E2302DA" w:rsidR="00130B63" w:rsidRDefault="00E9251C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  <w:r w:rsidRPr="00E9251C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Якщо </w:t>
      </w:r>
      <w:proofErr w:type="spellStart"/>
      <w:r w:rsidRPr="00E9251C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агента</w:t>
      </w:r>
      <w:proofErr w:type="spellEnd"/>
      <w:r w:rsidRPr="00E9251C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для використання немає в таблицях і остання частина блок-схеми не може бути застосована, рішення все ще можна прийняти, якщо можна визначити надійний MI</w:t>
      </w:r>
      <w:r w:rsidR="008D20A9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E9251C">
        <w:rPr>
          <w:rFonts w:ascii="Arial" w:eastAsia="Arial" w:hAnsi="Arial" w:cs="Arial"/>
          <w:color w:val="auto"/>
          <w:sz w:val="20"/>
          <w:szCs w:val="20"/>
          <w:lang w:val="uk-UA" w:bidi="ar-SA"/>
        </w:rPr>
        <w:t>. Зверніться до літератури, щоб отримати дані про позитивний клінічний результат, пов’язаний з MI</w:t>
      </w:r>
      <w:r w:rsidR="008D20A9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E9251C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цього або близькоспорідненого виду. Видайте обережну рекомендацію щодо використання засобу у формі коментаря, як запропоновано вище, а не категорії чутливості</w:t>
      </w:r>
      <w:r w:rsidRPr="00E9251C"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  <w:t>.</w:t>
      </w:r>
    </w:p>
    <w:p w14:paraId="00314A5A" w14:textId="7DFE1A69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1848256F" w14:textId="22D0DBC8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418C53EF" w14:textId="3F7CCE38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31FFFE61" w14:textId="44CEA661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46D1BA98" w14:textId="76F02D83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p w14:paraId="770EE1B0" w14:textId="10F51ABF" w:rsidR="00790731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8"/>
          <w:szCs w:val="28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790731" w:rsidRPr="008A3193" w14:paraId="34F25EBA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45DDA582" w14:textId="77777777" w:rsidR="00790731" w:rsidRDefault="00790731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1817199F" wp14:editId="493EB749">
                  <wp:extent cx="2075291" cy="441204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632350B4" w14:textId="77777777" w:rsidR="00790731" w:rsidRPr="00F044CE" w:rsidRDefault="00790731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5CDBF97B" w14:textId="77777777" w:rsidR="00790731" w:rsidRPr="00F044CE" w:rsidRDefault="00790731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7DFED9B1" w14:textId="77777777" w:rsidR="00790731" w:rsidRPr="00F044CE" w:rsidRDefault="00790731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790731" w:rsidRPr="008A3193" w14:paraId="25C52B33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5128D020" w14:textId="77777777" w:rsidR="00790731" w:rsidRPr="00F044CE" w:rsidRDefault="00790731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260FC3F7" w14:textId="060A5326" w:rsidR="00790731" w:rsidRPr="0087469A" w:rsidRDefault="00790731" w:rsidP="00E9251C">
      <w:pPr>
        <w:ind w:left="284"/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</w:p>
    <w:p w14:paraId="09D5D1F7" w14:textId="05540205" w:rsidR="00790731" w:rsidRPr="0087469A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  <w:t xml:space="preserve">Додаток 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«Як визначити поширення дикого типу».</w:t>
      </w:r>
    </w:p>
    <w:p w14:paraId="02DE2A39" w14:textId="77777777" w:rsidR="00790731" w:rsidRPr="0087469A" w:rsidRDefault="00790731" w:rsidP="00790731">
      <w:pPr>
        <w:ind w:left="284"/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val="uk-UA" w:bidi="ar-SA"/>
        </w:rPr>
      </w:pPr>
    </w:p>
    <w:p w14:paraId="6AE4AACC" w14:textId="77777777" w:rsidR="00790731" w:rsidRPr="0087469A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1. Перейдіть на веб-сайт EUCAST (www.eucast.org)</w:t>
      </w:r>
    </w:p>
    <w:p w14:paraId="5524944C" w14:textId="497EF4C1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2. Клацніть «MI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К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і розподіл діаметрів зони та ECOFF».</w:t>
      </w:r>
    </w:p>
    <w:p w14:paraId="26807019" w14:textId="28593CB6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027ACC7E" w14:textId="7AFD9C73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725504" wp14:editId="37470E73">
                <wp:simplePos x="0" y="0"/>
                <wp:positionH relativeFrom="column">
                  <wp:posOffset>1284114</wp:posOffset>
                </wp:positionH>
                <wp:positionV relativeFrom="paragraph">
                  <wp:posOffset>1337667</wp:posOffset>
                </wp:positionV>
                <wp:extent cx="591671" cy="207469"/>
                <wp:effectExtent l="0" t="19050" r="37465" b="40640"/>
                <wp:wrapNone/>
                <wp:docPr id="18" name="Стрілка: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1" cy="2074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FBB7C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ілка: вправо 18" o:spid="_x0000_s1026" type="#_x0000_t13" style="position:absolute;margin-left:101.1pt;margin-top:105.35pt;width:46.6pt;height:16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G3nAIAAFMFAAAOAAAAZHJzL2Uyb0RvYy54bWysVMFO3DAQvVfqP1i+l2RXC5SILFqBqCoh&#10;QIWKs3HsTSTHdsfezW5PqB/Re/8A9dhK7S9k/6hjJxsQoB6q5uDYnpnnmec3Pjxa1YosBbjK6JyO&#10;dlJKhOamqPQ8px+vT9+8pcR5pgumjBY5XQtHj6avXx02NhNjUxpVCCAIol3W2JyW3tssSRwvRc3c&#10;jrFCo1EaqJnHJcyTAliD6LVKxmm6lzQGCguGC+dw96Qz0mnEl1JwfyGlE56onGJuPo4Qx9swJtND&#10;ls2B2bLifRrsH7KoWaXx0AHqhHlGFlA9g6orDsYZ6Xe4qRMjZcVFrAGrGaVPqrkqmRWxFiTH2YEm&#10;9/9g+fnyEkhV4N3hTWlW4x213zZfNnebr+3P9kd7n5H2e/t7c9fe4/8XQTfkrLEuw9Arewn9yuE0&#10;ELCSUIc/lkZWkef1wLNYecJxc/dgtLc/ooSjaZzuT/YOAmbyEGzB+XfC1CRMcgrVvPQzANNEjtny&#10;zPkuYOuI0SGlLok482slQh5KfxASC8RjxzE6SkscKyBLhqJgnAvtR52pZIXotndT/PqshoiYYwQM&#10;yLJSasDuAYJsn2N3ufb+IVREZQ7B6d8S64KHiHiy0X4Iritt4CUAhVX1J3f+W5I6agJLt6ZY4/WD&#10;6frCWX5aIeNnzPlLBtgI2DLY3P4CB6lMk1PTzygpDXx+aT/4oz7RSkmDjZVT92nBQFCi3mtU7sFo&#10;MgmdGBeT3f0xLuCx5faxRS/qY4PXhGrB7OI0+Hu1nUow9Q2+AbNwKpqY5nh2TrmH7eLYdw2PrwgX&#10;s1l0w+6zzJ/pK8sDeGA1aOl6dcPA9rLzqNdzs21Clj3RXecbIrWZLbyRVRTlA68939i5UTj9KxOe&#10;hsfr6PXwFk7/AAAA//8DAFBLAwQUAAYACAAAACEAXoEYKeEAAAALAQAADwAAAGRycy9kb3ducmV2&#10;LnhtbEyPy07DMBBF90j8gzVIbBC1a1IeIU4FlRDqIiAKYu3GJokaj63YScPfM6xgd0dzdOdMsZ5d&#10;zyY7xM6jguVCALNYe9Nho+Dj/enyFlhMGo3uPVoF3zbCujw9KXRu/BHf7LRLDaMSjLlW0KYUcs5j&#10;3Vqn48IHi7T78oPTicah4WbQRyp3PZdCXHOnO6QLrQ5209r6sBudgkdTVc9mGkO1OnwGs3nh5mL7&#10;qtT52fxwDyzZOf3B8KtP6lCS096PaCLrFUghJaEUluIGGBHybpUB21PIrjLgZcH//1D+AAAA//8D&#10;AFBLAQItABQABgAIAAAAIQC2gziS/gAAAOEBAAATAAAAAAAAAAAAAAAAAAAAAABbQ29udGVudF9U&#10;eXBlc10ueG1sUEsBAi0AFAAGAAgAAAAhADj9If/WAAAAlAEAAAsAAAAAAAAAAAAAAAAALwEAAF9y&#10;ZWxzLy5yZWxzUEsBAi0AFAAGAAgAAAAhALBd0becAgAAUwUAAA4AAAAAAAAAAAAAAAAALgIAAGRy&#10;cy9lMm9Eb2MueG1sUEsBAi0AFAAGAAgAAAAhAF6BGCnhAAAACwEAAA8AAAAAAAAAAAAAAAAA9gQA&#10;AGRycy9kb3ducmV2LnhtbFBLBQYAAAAABAAEAPMAAAAEBgAAAAA=&#10;" adj="17813" fillcolor="#4472c4 [3204]" strokecolor="#1f3763 [1604]" strokeweight="1pt"/>
            </w:pict>
          </mc:Fallback>
        </mc:AlternateContent>
      </w:r>
      <w:r>
        <w:rPr>
          <w:rFonts w:ascii="Arial" w:eastAsia="Arial" w:hAnsi="Arial" w:cs="Arial"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34A9AE" wp14:editId="435417EE">
                <wp:simplePos x="0" y="0"/>
                <wp:positionH relativeFrom="column">
                  <wp:posOffset>-335669</wp:posOffset>
                </wp:positionH>
                <wp:positionV relativeFrom="paragraph">
                  <wp:posOffset>2052795</wp:posOffset>
                </wp:positionV>
                <wp:extent cx="591671" cy="207469"/>
                <wp:effectExtent l="0" t="19050" r="37465" b="40640"/>
                <wp:wrapNone/>
                <wp:docPr id="17" name="Стрілка: вправ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1" cy="2074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6FF30" id="Стрілка: вправо 17" o:spid="_x0000_s1026" type="#_x0000_t13" style="position:absolute;margin-left:-26.45pt;margin-top:161.65pt;width:46.6pt;height:16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t+0nQIAAFMFAAAOAAAAZHJzL2Uyb0RvYy54bWysVMFOGzEQvVfqP1i+l91EgTQRGxSBqCoh&#10;QIWKs/Ha2ZW8tjt2sklPqB/Re/8A9dhK7S9s/qhj72ZBgHqougev7Zl5nnl+48OjdaXISoArjc7o&#10;YC+lRGhu8lIvMvrx+vTNW0qcZzpnymiR0Y1w9Gj2+tVhbadiaAqjcgEEQbSb1jajhfd2miSOF6Ji&#10;bs9YodEoDVTM4xIWSQ6sRvRKJcM0PUhqA7kFw4VzuHvSGuks4kspuL+Q0glPVEYxNx9HiONtGJPZ&#10;IZsugNmi5F0a7B+yqFip8dAe6oR5RpZQPoOqSg7GGen3uKkSI2XJRawBqxmkT6q5KpgVsRYkx9me&#10;Jvf/YPn56hJImePdjSnRrMI7ar5tv2zvtl+bn82P5n5Kmu/N7+1dc4//XwTdkLPauimGXtlL6FYO&#10;p4GAtYQq/LE0so48b3qexdoTjpv7k8HBeEAJR9MwHY8OJgEzeQi24Pw7YSoSJhmFclH4OYCpI8ds&#10;deZ8G7BzxOiQUptEnPmNEiEPpT8IiQXiscMYHaUljhWQFUNRMM6F9oPWVLBctNv7KX5dVn1EzDEC&#10;BmRZKtVjdwBBts+x21w7/xAqojL74PRvibXBfUQ82WjfB1elNvASgMKqupNb/x1JLTWBpVuTb/D6&#10;wbR94Sw/LZHxM+b8JQNsBGwZbG5/gYNUps6o6WaUFAY+v7Qf/FGfaKWkxsbKqPu0ZCAoUe81Kncy&#10;GI1CJ8bFaH88xAU8ttw+tuhldWzwmlAtmF2cBn+vdlMJprrBN2AeTkUT0xzPzij3sFsc+7bh8RXh&#10;Yj6Pbth9lvkzfWV5AA+sBi1dr28Y2E52HvV6bnZNyKZPdNf6hkht5ktvZBlF+cBrxzd2bhRO98qE&#10;p+HxOno9vIWzPwAAAP//AwBQSwMEFAAGAAgAAAAhADxzqnLhAAAACgEAAA8AAABkcnMvZG93bnJl&#10;di54bWxMj01PwzAMhu9I/IfISFzQltDSaZSmE0xCiENBbIhz1pi2WvOhJu3Kv8c7wcmy/ej142Iz&#10;m55NOITOWQm3SwEMbe10ZxsJn/vnxRpYiMpq1TuLEn4wwKa8vChUrt3JfuC0iw2jEBtyJaGN0eec&#10;h7pFo8LSebS0+3aDUZHaoeF6UCcKNz1PhFhxozpLF1rlcdtifdyNRsKTrqoXPY2+yo5fXm/fuL55&#10;fZfy+mp+fAAWcY5/MJz1SR1Kcjq40erAegmLLLknVEKapCkwIu4E1QMNspUAXhb8/wvlLwAAAP//&#10;AwBQSwECLQAUAAYACAAAACEAtoM4kv4AAADhAQAAEwAAAAAAAAAAAAAAAAAAAAAAW0NvbnRlbnRf&#10;VHlwZXNdLnhtbFBLAQItABQABgAIAAAAIQA4/SH/1gAAAJQBAAALAAAAAAAAAAAAAAAAAC8BAABf&#10;cmVscy8ucmVsc1BLAQItABQABgAIAAAAIQDI3t+0nQIAAFMFAAAOAAAAAAAAAAAAAAAAAC4CAABk&#10;cnMvZTJvRG9jLnhtbFBLAQItABQABgAIAAAAIQA8c6py4QAAAAoBAAAPAAAAAAAAAAAAAAAAAPcE&#10;AABkcnMvZG93bnJldi54bWxQSwUGAAAAAAQABADzAAAABQYAAAAA&#10;" adj="17813" fillcolor="#4472c4 [3204]" strokecolor="#1f3763 [1604]" strokeweight="1pt"/>
            </w:pict>
          </mc:Fallback>
        </mc:AlternateContent>
      </w:r>
      <w:r w:rsidRPr="00790731">
        <w:rPr>
          <w:rFonts w:ascii="Arial" w:eastAsia="Arial" w:hAnsi="Arial" w:cs="Arial"/>
          <w:color w:val="auto"/>
          <w:sz w:val="28"/>
          <w:szCs w:val="28"/>
          <w:lang w:val="uk-UA" w:bidi="ar-SA"/>
        </w:rPr>
        <w:drawing>
          <wp:inline distT="0" distB="0" distL="0" distR="0" wp14:anchorId="13021E7C" wp14:editId="28718EA7">
            <wp:extent cx="6300470" cy="2825750"/>
            <wp:effectExtent l="0" t="0" r="508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5C69D" w14:textId="6AEDB2AC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5BF06E90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59B371FF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3BEC57BC" w14:textId="31CE7D8E" w:rsidR="00790731" w:rsidRPr="0087469A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Натисніть на 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“</w:t>
      </w:r>
      <w:proofErr w:type="spellStart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Search</w:t>
      </w:r>
      <w:proofErr w:type="spellEnd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</w:t>
      </w:r>
      <w:proofErr w:type="spellStart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database</w:t>
      </w:r>
      <w:proofErr w:type="spellEnd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”</w:t>
      </w:r>
    </w:p>
    <w:p w14:paraId="4F4302D4" w14:textId="6E67D6F8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20AED737" w14:textId="3854951D" w:rsidR="00790731" w:rsidRDefault="00790731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C05A89" wp14:editId="3A78FD83">
                <wp:simplePos x="0" y="0"/>
                <wp:positionH relativeFrom="column">
                  <wp:posOffset>-384202</wp:posOffset>
                </wp:positionH>
                <wp:positionV relativeFrom="paragraph">
                  <wp:posOffset>832922</wp:posOffset>
                </wp:positionV>
                <wp:extent cx="591671" cy="207469"/>
                <wp:effectExtent l="0" t="19050" r="37465" b="40640"/>
                <wp:wrapNone/>
                <wp:docPr id="22" name="Стрілка: вправ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1" cy="2074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C06EC" id="Стрілка: вправо 22" o:spid="_x0000_s1026" type="#_x0000_t13" style="position:absolute;margin-left:-30.25pt;margin-top:65.6pt;width:46.6pt;height:16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mYQnAIAAFMFAAAOAAAAZHJzL2Uyb0RvYy54bWysVMFO3DAQvVfqP1i+l2SjBcqKLFqBqCoh&#10;QIWKs3HsTSTHdsfezW5PqB/Re/8A9dhK7S9k/6hjJxsQoB6q5uDYnpnnmec3Pjxa1YosBbjK6JyO&#10;dlJKhOamqPQ8px+vT9+8pcR5pgumjBY5XQtHj6avXx02diIyUxpVCCAIot2ksTktvbeTJHG8FDVz&#10;O8YKjUZpoGYelzBPCmANotcqydJ0L2kMFBYMF87h7klnpNOIL6Xg/kJKJzxROcXcfBwhjrdhTKaH&#10;bDIHZsuK92mwf8iiZpXGQweoE+YZWUD1DKquOBhnpN/hpk6MlBUXsQasZpQ+qeaqZFbEWpAcZwea&#10;3P+D5efLSyBVkdMso0SzGu+o/bb5srnbfG1/tj/a+wlpv7e/N3ftPf5/EXRDzhrrJhh6ZS+hXzmc&#10;BgJWEurwx9LIKvK8HngWK084bu4ejPb2R5RwNGXp/njvIGAmD8EWnH8nTE3CJKdQzUs/AzBN5Jgt&#10;z5zvAraOGB1S6pKIM79WIuSh9AchsUA8NovRUVriWAFZMhQF41xoP+pMJStEt72b4tdnNUTEHCNg&#10;QJaVUgN2DxBk+xy7y7X3D6EiKnMITv+WWBc8RMSTjfZDcF1pAy8BKKyqP7nz35LUURNYujXFGq8f&#10;TNcXzvLTChk/Y85fMsBGwJbB5vYXOEhlmpyafkZJaeDzS/vBH/WJVkoabKycuk8LBoIS9V6jcg9G&#10;43HoxLgY7+5nuIDHltvHFr2ojw1eE6oFs4vT4O/VdirB1Df4BszCqWhimuPZOeUetotj3zU8viJc&#10;zGbRDbvPMn+mrywP4IHVoKXr1Q0D28vOo17PzbYJ2eSJ7jrfEKnNbOGNrKIoH3jt+cbOjcLpX5nw&#10;NDxeR6+Ht3D6BwAA//8DAFBLAwQUAAYACAAAACEAHlyZQ+AAAAAKAQAADwAAAGRycy9kb3ducmV2&#10;LnhtbEyPwU6DQBCG7ya+w2ZMvJh2KaRYkaXRJsZ4QGNrPG/ZEUjZWcIuFN/e8aTHmf/LP9/k29l2&#10;YsLBt44UrJYRCKTKmZZqBR+Hp8UGhA+ajO4coYJv9LAtLi9ynRl3pnec9qEWXEI+0wqaEPpMSl81&#10;aLVfuh6Jsy83WB14HGppBn3mctvJOIpSaXVLfKHRPe4arE770Sp4NGX5bKaxL9enz97sXqW5eXlT&#10;6vpqfrgHEXAOfzD86rM6FOx0dCMZLzoFizRaM8pBsopBMJHEtyCOvEiTO5BFLv+/UPwAAAD//wMA&#10;UEsBAi0AFAAGAAgAAAAhALaDOJL+AAAA4QEAABMAAAAAAAAAAAAAAAAAAAAAAFtDb250ZW50X1R5&#10;cGVzXS54bWxQSwECLQAUAAYACAAAACEAOP0h/9YAAACUAQAACwAAAAAAAAAAAAAAAAAvAQAAX3Jl&#10;bHMvLnJlbHNQSwECLQAUAAYACAAAACEA9sZmEJwCAABTBQAADgAAAAAAAAAAAAAAAAAuAgAAZHJz&#10;L2Uyb0RvYy54bWxQSwECLQAUAAYACAAAACEAHlyZQ+AAAAAKAQAADwAAAAAAAAAAAAAAAAD2BAAA&#10;ZHJzL2Rvd25yZXYueG1sUEsFBgAAAAAEAAQA8wAAAAMGAAAAAA==&#10;" adj="17813" fillcolor="#4472c4 [3204]" strokecolor="#1f3763 [1604]" strokeweight="1pt"/>
            </w:pict>
          </mc:Fallback>
        </mc:AlternateContent>
      </w:r>
      <w:r w:rsidRPr="00790731">
        <w:rPr>
          <w:rFonts w:ascii="Arial" w:eastAsia="Arial" w:hAnsi="Arial" w:cs="Arial"/>
          <w:color w:val="auto"/>
          <w:sz w:val="28"/>
          <w:szCs w:val="28"/>
          <w:lang w:val="uk-UA" w:bidi="ar-SA"/>
        </w:rPr>
        <w:drawing>
          <wp:inline distT="0" distB="0" distL="0" distR="0" wp14:anchorId="491D0A24" wp14:editId="6336E658">
            <wp:extent cx="6300470" cy="2643308"/>
            <wp:effectExtent l="0" t="0" r="5080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7798" cy="2646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95181" w14:textId="54E87EC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1779D2A7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200F9A3A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358BAC37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0C5C39B4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87469A" w:rsidRPr="008A3193" w14:paraId="47EF8417" w14:textId="77777777" w:rsidTr="00763B51">
        <w:trPr>
          <w:jc w:val="center"/>
        </w:trPr>
        <w:tc>
          <w:tcPr>
            <w:tcW w:w="3684" w:type="dxa"/>
            <w:shd w:val="clear" w:color="auto" w:fill="auto"/>
          </w:tcPr>
          <w:p w14:paraId="7CB00EBF" w14:textId="77777777" w:rsidR="0087469A" w:rsidRDefault="0087469A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lastRenderedPageBreak/>
              <w:drawing>
                <wp:inline distT="0" distB="0" distL="0" distR="0" wp14:anchorId="7967DAAC" wp14:editId="203CE19C">
                  <wp:extent cx="2075291" cy="441204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0932B5D1" w14:textId="77777777" w:rsidR="0087469A" w:rsidRPr="00F044CE" w:rsidRDefault="0087469A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7975D349" w14:textId="77777777" w:rsidR="0087469A" w:rsidRPr="00F044CE" w:rsidRDefault="0087469A" w:rsidP="00763B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383798D9" w14:textId="77777777" w:rsidR="0087469A" w:rsidRPr="00F044CE" w:rsidRDefault="0087469A" w:rsidP="00763B5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87469A" w:rsidRPr="008A3193" w14:paraId="254C410A" w14:textId="77777777" w:rsidTr="00763B51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4AAB363B" w14:textId="77777777" w:rsidR="0087469A" w:rsidRPr="00F044CE" w:rsidRDefault="0087469A" w:rsidP="00763B5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Європейське товариство з клінічної мікробіології та інфекційних </w:t>
            </w:r>
            <w:proofErr w:type="spellStart"/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хвороб</w:t>
            </w:r>
            <w:proofErr w:type="spellEnd"/>
          </w:p>
        </w:tc>
      </w:tr>
    </w:tbl>
    <w:p w14:paraId="2C9D7ED5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76548BFB" w14:textId="79F3DA84" w:rsidR="0087469A" w:rsidRP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…і знайдіть вид у розкривному списку. Якщо вид (або близькоспоріднений організм) відсутній у списку, корисний розподіл MI</w:t>
      </w:r>
      <w:r w:rsidRPr="0087469A">
        <w:rPr>
          <w:rFonts w:ascii="Arial" w:eastAsia="Arial" w:hAnsi="Arial" w:cs="Arial"/>
          <w:color w:val="auto"/>
          <w:sz w:val="20"/>
          <w:szCs w:val="20"/>
          <w:lang w:bidi="ar-SA"/>
        </w:rPr>
        <w:t>K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недоступний. Якщо розповсюдження MI</w:t>
      </w:r>
      <w:r w:rsidRPr="0087469A">
        <w:rPr>
          <w:rFonts w:ascii="Arial" w:eastAsia="Arial" w:hAnsi="Arial" w:cs="Arial"/>
          <w:color w:val="auto"/>
          <w:sz w:val="20"/>
          <w:szCs w:val="20"/>
          <w:lang w:bidi="ar-SA"/>
        </w:rPr>
        <w:t>K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доступні, відкриється таблиця зі списком агентів, для яких можна переглянути розповсюдження MI</w:t>
      </w:r>
      <w:r w:rsidRPr="0087469A">
        <w:rPr>
          <w:rFonts w:ascii="Arial" w:eastAsia="Arial" w:hAnsi="Arial" w:cs="Arial"/>
          <w:color w:val="auto"/>
          <w:sz w:val="20"/>
          <w:szCs w:val="20"/>
          <w:lang w:bidi="ar-SA"/>
        </w:rPr>
        <w:t>K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.</w:t>
      </w:r>
    </w:p>
    <w:p w14:paraId="71F35902" w14:textId="6CE97E82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352F2675" w14:textId="54A7292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  <w:r>
        <w:rPr>
          <w:rFonts w:ascii="Arial" w:eastAsia="Arial" w:hAnsi="Arial" w:cs="Arial"/>
          <w:noProof/>
          <w:color w:val="auto"/>
          <w:sz w:val="28"/>
          <w:szCs w:val="28"/>
          <w:lang w:val="uk-UA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C206A" wp14:editId="6AA308ED">
                <wp:simplePos x="0" y="0"/>
                <wp:positionH relativeFrom="column">
                  <wp:posOffset>1164495</wp:posOffset>
                </wp:positionH>
                <wp:positionV relativeFrom="paragraph">
                  <wp:posOffset>331410</wp:posOffset>
                </wp:positionV>
                <wp:extent cx="591671" cy="207469"/>
                <wp:effectExtent l="0" t="19050" r="37465" b="40640"/>
                <wp:wrapNone/>
                <wp:docPr id="25" name="Стрілка: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1" cy="2074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1DBC0" id="Стрілка: вправо 25" o:spid="_x0000_s1026" type="#_x0000_t13" style="position:absolute;margin-left:91.7pt;margin-top:26.1pt;width:46.6pt;height:16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vKnQIAAFMFAAAOAAAAZHJzL2Uyb0RvYy54bWysVMFOGzEQvVfqP1i+l91ECTQRGxSBqCoh&#10;QIWKs/Ha2ZW8tjt2sklPqB/Re/8A9dhK7S9s/qhj72ZBgHqougev7Zl5nnl+48OjdaXISoArjc7o&#10;YC+lRGhu8lIvMvrx+vTNW0qcZzpnymiR0Y1w9Gj2+tVhbadiaAqjcgEEQbSb1jajhfd2miSOF6Ji&#10;bs9YodEoDVTM4xIWSQ6sRvRKJcM03U9qA7kFw4VzuHvSGuks4kspuL+Q0glPVEYxNx9HiONtGJPZ&#10;IZsugNmi5F0a7B+yqFip8dAe6oR5RpZQPoOqSg7GGen3uKkSI2XJRawBqxmkT6q5KpgVsRYkx9me&#10;Jvf/YPn56hJImWd0OKZEswrvqPm2/bK9235tfjY/mvspab43v7d3zT3+fxF0Q85q66YYemUvoVs5&#10;nAYC1hKq8MfSyDryvOl5FmtPOG6OJ4P9gwElHE3D9GC0PwmYyUOwBeffCVORMMkolIvCzwFMHTlm&#10;qzPn24CdI0aHlNok4sxvlAh5KP1BSCwQjx3G6CgtcayArBiKgnEutB+0poLlot0ep/h1WfURMccI&#10;GJBlqVSP3QEE2T7HbnPt/EOoiMrsg9O/JdYG9xHxZKN9H1yV2sBLAAqr6k5u/XcktdQElm5NvsHr&#10;B9P2hbP8tETGz5jzlwywEbBlsLn9BQ5SmTqjpptRUhj4/NJ+8Ed9opWSGhsro+7TkoGgRL3XqNzJ&#10;YDQKnRgXo/HBEBfw2HL72KKX1bHBa0K1YHZxGvy92k0lmOoG34B5OBVNTHM8O6Pcw25x7NuGx1eE&#10;i/k8umH3WebP9JXlATywGrR0vb5hYDvZedTrudk1IZs+0V3rGyK1mS+9kWUU5QOvHd/YuVE43SsT&#10;nobH6+j18BbO/gAAAP//AwBQSwMEFAAGAAgAAAAhAFFIlsXgAAAACQEAAA8AAABkcnMvZG93bnJl&#10;di54bWxMj0FPg0AQhe8m/ofNmHgxdhFbisjSaBNjPKBpNZ637Aik7CxhF4r/3vGkx5f58t43+Wa2&#10;nZhw8K0jBTeLCARS5UxLtYKP96frFIQPmozuHKGCb/SwKc7Pcp0Zd6IdTvtQCy4hn2kFTQh9JqWv&#10;GrTaL1yPxLcvN1gdOA61NIM+cbntZBxFibS6JV5odI/bBqvjfrQKHk1ZPptp7MvV8bM321dprl7e&#10;lLq8mB/uQQScwx8Mv/qsDgU7HdxIxouOc3q7ZFTBKo5BMBCvkwTEQUG6vANZ5PL/B8UPAAAA//8D&#10;AFBLAQItABQABgAIAAAAIQC2gziS/gAAAOEBAAATAAAAAAAAAAAAAAAAAAAAAABbQ29udGVudF9U&#10;eXBlc10ueG1sUEsBAi0AFAAGAAgAAAAhADj9If/WAAAAlAEAAAsAAAAAAAAAAAAAAAAALwEAAF9y&#10;ZWxzLy5yZWxzUEsBAi0AFAAGAAgAAAAhAOQRq8qdAgAAUwUAAA4AAAAAAAAAAAAAAAAALgIAAGRy&#10;cy9lMm9Eb2MueG1sUEsBAi0AFAAGAAgAAAAhAFFIlsXgAAAACQEAAA8AAAAAAAAAAAAAAAAA9wQA&#10;AGRycy9kb3ducmV2LnhtbFBLBQYAAAAABAAEAPMAAAAEBgAAAAA=&#10;" adj="17813" fillcolor="#4472c4 [3204]" strokecolor="#1f3763 [1604]" strokeweight="1pt"/>
            </w:pict>
          </mc:Fallback>
        </mc:AlternateContent>
      </w:r>
      <w:r w:rsidRPr="0087469A">
        <w:rPr>
          <w:rFonts w:ascii="Arial" w:eastAsia="Arial" w:hAnsi="Arial" w:cs="Arial"/>
          <w:color w:val="auto"/>
          <w:sz w:val="28"/>
          <w:szCs w:val="28"/>
          <w:lang w:val="uk-UA" w:bidi="ar-SA"/>
        </w:rPr>
        <w:drawing>
          <wp:inline distT="0" distB="0" distL="0" distR="0" wp14:anchorId="66940C6B" wp14:editId="2BDFD6A2">
            <wp:extent cx="5796951" cy="2281505"/>
            <wp:effectExtent l="0" t="0" r="0" b="508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7422" cy="228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39996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1304EB17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40ED6B85" w14:textId="192C506F" w:rsidR="0087469A" w:rsidRP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Натисніть на назву препарату (у прикладі «тетрациклін»), щоб переглянути розподіл МІК.</w:t>
      </w:r>
    </w:p>
    <w:p w14:paraId="54167084" w14:textId="7BE748A6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72DAFA31" w14:textId="7A0EE442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  <w:r w:rsidRPr="0087469A">
        <w:rPr>
          <w:rFonts w:ascii="Arial" w:eastAsia="Arial" w:hAnsi="Arial" w:cs="Arial"/>
          <w:color w:val="auto"/>
          <w:sz w:val="28"/>
          <w:szCs w:val="28"/>
          <w:lang w:val="uk-UA" w:bidi="ar-SA"/>
        </w:rPr>
        <w:drawing>
          <wp:inline distT="0" distB="0" distL="0" distR="0" wp14:anchorId="2A4EDA1C" wp14:editId="5008BB86">
            <wp:extent cx="4839419" cy="3107919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2005" cy="311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7BD5A" w14:textId="77777777" w:rsid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8"/>
          <w:szCs w:val="28"/>
          <w:lang w:val="uk-UA" w:bidi="ar-SA"/>
        </w:rPr>
      </w:pPr>
    </w:p>
    <w:p w14:paraId="1566B9A5" w14:textId="2E848638" w:rsidR="0087469A" w:rsidRPr="0087469A" w:rsidRDefault="0087469A" w:rsidP="0087469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• Якщо можна довести, що мікроорганізм не належить до дикого типу (значення MI</w:t>
      </w:r>
      <w:r w:rsidRPr="0087469A">
        <w:rPr>
          <w:rFonts w:ascii="Arial" w:eastAsia="Arial" w:hAnsi="Arial" w:cs="Arial"/>
          <w:color w:val="auto"/>
          <w:sz w:val="20"/>
          <w:szCs w:val="20"/>
          <w:lang w:bidi="ar-SA"/>
        </w:rPr>
        <w:t>K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вище ECOFF), додайте коментар до звіту, щоб перешкодити терапії.</w:t>
      </w:r>
    </w:p>
    <w:p w14:paraId="20ECB0A8" w14:textId="6B5499C9" w:rsidR="0087469A" w:rsidRPr="0087469A" w:rsidRDefault="0087469A" w:rsidP="0087469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• Якщо можна довести, що мікроорганізм належить до дикого типу (значення MI</w:t>
      </w:r>
      <w:r w:rsidRPr="0087469A">
        <w:rPr>
          <w:rFonts w:ascii="Arial" w:eastAsia="Arial" w:hAnsi="Arial" w:cs="Arial"/>
          <w:color w:val="auto"/>
          <w:sz w:val="20"/>
          <w:szCs w:val="20"/>
          <w:lang w:bidi="ar-SA"/>
        </w:rPr>
        <w:t>K</w:t>
      </w: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 xml:space="preserve"> нижче ECOFF), не розглядайте ізолят одразу як чутливий до </w:t>
      </w:r>
      <w:proofErr w:type="spellStart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агента</w:t>
      </w:r>
      <w:proofErr w:type="spellEnd"/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, дотримуйтеся наведених вище вказівок.</w:t>
      </w:r>
    </w:p>
    <w:p w14:paraId="44CA6851" w14:textId="3341DBF9" w:rsidR="0087469A" w:rsidRPr="0087469A" w:rsidRDefault="0087469A" w:rsidP="0087469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  <w:r w:rsidRPr="0087469A">
        <w:rPr>
          <w:rFonts w:ascii="Arial" w:eastAsia="Arial" w:hAnsi="Arial" w:cs="Arial"/>
          <w:color w:val="auto"/>
          <w:sz w:val="20"/>
          <w:szCs w:val="20"/>
          <w:lang w:val="uk-UA" w:bidi="ar-SA"/>
        </w:rPr>
        <w:t>• Якщо неможливо визначити, чи належить ізолят до дикого типу, дотримуйтеся наведених вище вказівок.</w:t>
      </w:r>
    </w:p>
    <w:p w14:paraId="31641F46" w14:textId="403FD815" w:rsidR="0087469A" w:rsidRPr="0087469A" w:rsidRDefault="0087469A" w:rsidP="00790731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  <w:lang w:val="uk-UA" w:bidi="ar-SA"/>
        </w:rPr>
      </w:pPr>
    </w:p>
    <w:sectPr w:rsidR="0087469A" w:rsidRPr="0087469A" w:rsidSect="00BD7B8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C0909"/>
    <w:multiLevelType w:val="hybridMultilevel"/>
    <w:tmpl w:val="A5902B7C"/>
    <w:lvl w:ilvl="0" w:tplc="100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0CD75C0"/>
    <w:multiLevelType w:val="hybridMultilevel"/>
    <w:tmpl w:val="D67A9A3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B2DA3"/>
    <w:multiLevelType w:val="hybridMultilevel"/>
    <w:tmpl w:val="EFA0824C"/>
    <w:lvl w:ilvl="0" w:tplc="F3B02648">
      <w:numFmt w:val="bullet"/>
      <w:lvlText w:val="•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93"/>
    <w:rsid w:val="00130B63"/>
    <w:rsid w:val="00464C01"/>
    <w:rsid w:val="004A3D8E"/>
    <w:rsid w:val="005A224D"/>
    <w:rsid w:val="00617E11"/>
    <w:rsid w:val="00667EC9"/>
    <w:rsid w:val="00675C0A"/>
    <w:rsid w:val="00790731"/>
    <w:rsid w:val="00870CB1"/>
    <w:rsid w:val="0087469A"/>
    <w:rsid w:val="008A3193"/>
    <w:rsid w:val="008D20A9"/>
    <w:rsid w:val="009C5414"/>
    <w:rsid w:val="00B840B1"/>
    <w:rsid w:val="00BD7B88"/>
    <w:rsid w:val="00E9251C"/>
    <w:rsid w:val="00EA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E4E1"/>
  <w15:chartTrackingRefBased/>
  <w15:docId w15:val="{A6F3D4B0-C167-415D-B3F9-00EB5F5E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A319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BD7B8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uk-UA"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CB1"/>
    <w:pPr>
      <w:ind w:left="720"/>
      <w:contextualSpacing/>
    </w:pPr>
  </w:style>
  <w:style w:type="table" w:styleId="a4">
    <w:name w:val="Table Grid"/>
    <w:basedOn w:val="a1"/>
    <w:uiPriority w:val="39"/>
    <w:rsid w:val="0061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D7B8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BD7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7</Pages>
  <Words>9427</Words>
  <Characters>5374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Valentyna Yanovska</dc:creator>
  <cp:keywords/>
  <dc:description/>
  <cp:lastModifiedBy>Valentyna Yanovska</cp:lastModifiedBy>
  <cp:revision>4</cp:revision>
  <dcterms:created xsi:type="dcterms:W3CDTF">2025-01-10T13:50:00Z</dcterms:created>
  <dcterms:modified xsi:type="dcterms:W3CDTF">2025-01-11T17:53:00Z</dcterms:modified>
</cp:coreProperties>
</file>